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100"/>
      </w:tblGrid>
      <w:tr w:rsidR="00743B36" w:rsidTr="00066EBC">
        <w:trPr>
          <w:trHeight w:val="1560"/>
        </w:trPr>
        <w:tc>
          <w:tcPr>
            <w:tcW w:w="5245" w:type="dxa"/>
          </w:tcPr>
          <w:p w:rsidR="007B2EDD" w:rsidRPr="002D3AEA" w:rsidRDefault="007B2EDD" w:rsidP="003B148E">
            <w:pPr>
              <w:jc w:val="center"/>
              <w:rPr>
                <w:rFonts w:ascii="Times New Roman" w:eastAsiaTheme="minorEastAsia" w:hAnsi="Times New Roman" w:cs="Times New Roman"/>
                <w:sz w:val="26"/>
                <w:szCs w:val="26"/>
                <w:lang w:eastAsia="ru-RU"/>
              </w:rPr>
            </w:pPr>
          </w:p>
        </w:tc>
        <w:tc>
          <w:tcPr>
            <w:tcW w:w="4100" w:type="dxa"/>
          </w:tcPr>
          <w:p w:rsidR="007B2EDD" w:rsidRPr="00D2360C" w:rsidRDefault="00DF54AF" w:rsidP="00D2360C">
            <w:pPr>
              <w:pStyle w:val="a8"/>
              <w:rPr>
                <w:rFonts w:ascii="Times New Roman" w:hAnsi="Times New Roman" w:cs="Times New Roman"/>
                <w:lang w:eastAsia="ru-RU"/>
              </w:rPr>
            </w:pPr>
            <w:r w:rsidRPr="00D2360C">
              <w:rPr>
                <w:rFonts w:ascii="Times New Roman" w:hAnsi="Times New Roman" w:cs="Times New Roman"/>
                <w:lang w:eastAsia="ru-RU"/>
              </w:rPr>
              <w:t xml:space="preserve">Приложение к приказу </w:t>
            </w:r>
          </w:p>
          <w:p w:rsidR="007B2EDD" w:rsidRPr="00D2360C" w:rsidRDefault="00DF54AF" w:rsidP="00D2360C">
            <w:pPr>
              <w:pStyle w:val="a8"/>
              <w:rPr>
                <w:rFonts w:ascii="Times New Roman" w:hAnsi="Times New Roman" w:cs="Times New Roman"/>
                <w:lang w:eastAsia="ru-RU"/>
              </w:rPr>
            </w:pPr>
            <w:r w:rsidRPr="00D2360C">
              <w:rPr>
                <w:rFonts w:ascii="Times New Roman" w:hAnsi="Times New Roman" w:cs="Times New Roman"/>
                <w:lang w:eastAsia="ru-RU"/>
              </w:rPr>
              <w:t xml:space="preserve">ПАО «Россети Северо-Запад» </w:t>
            </w:r>
          </w:p>
          <w:p w:rsidR="007B2EDD" w:rsidRPr="00D2360C" w:rsidRDefault="006B01F6" w:rsidP="00D2360C">
            <w:pPr>
              <w:pStyle w:val="a8"/>
              <w:rPr>
                <w:rFonts w:ascii="Times New Roman" w:hAnsi="Times New Roman" w:cs="Times New Roman"/>
                <w:u w:val="single"/>
                <w:lang w:eastAsia="ru-RU"/>
              </w:rPr>
            </w:pPr>
            <w:r>
              <w:rPr>
                <w:rFonts w:ascii="Times New Roman" w:hAnsi="Times New Roman" w:cs="Times New Roman"/>
                <w:lang w:eastAsia="ru-RU"/>
              </w:rPr>
              <w:t>О</w:t>
            </w:r>
            <w:r w:rsidR="00DF54AF">
              <w:rPr>
                <w:rFonts w:ascii="Times New Roman" w:hAnsi="Times New Roman" w:cs="Times New Roman"/>
                <w:lang w:eastAsia="ru-RU"/>
              </w:rPr>
              <w:t>т</w:t>
            </w:r>
            <w:r>
              <w:rPr>
                <w:rFonts w:ascii="Times New Roman" w:hAnsi="Times New Roman" w:cs="Times New Roman"/>
                <w:lang w:eastAsia="ru-RU"/>
              </w:rPr>
              <w:t xml:space="preserve"> 26.12.2023</w:t>
            </w:r>
            <w:r w:rsidR="00A37918" w:rsidRPr="00D2360C">
              <w:rPr>
                <w:rFonts w:ascii="Times New Roman" w:hAnsi="Times New Roman" w:cs="Times New Roman"/>
                <w:lang w:eastAsia="ru-RU"/>
              </w:rPr>
              <w:t xml:space="preserve"> №</w:t>
            </w:r>
            <w:r>
              <w:rPr>
                <w:rFonts w:ascii="Times New Roman" w:hAnsi="Times New Roman" w:cs="Times New Roman"/>
                <w:lang w:eastAsia="ru-RU"/>
              </w:rPr>
              <w:t xml:space="preserve"> 682</w:t>
            </w:r>
            <w:bookmarkStart w:id="0" w:name="_GoBack"/>
            <w:bookmarkEnd w:id="0"/>
          </w:p>
          <w:p w:rsidR="007B2EDD" w:rsidRPr="002D3AEA" w:rsidRDefault="007B2EDD" w:rsidP="003B148E">
            <w:pPr>
              <w:jc w:val="center"/>
              <w:rPr>
                <w:rFonts w:ascii="Times New Roman" w:eastAsiaTheme="minorEastAsia" w:hAnsi="Times New Roman" w:cs="Times New Roman"/>
                <w:sz w:val="26"/>
                <w:szCs w:val="26"/>
                <w:lang w:eastAsia="ru-RU"/>
              </w:rPr>
            </w:pPr>
          </w:p>
        </w:tc>
      </w:tr>
    </w:tbl>
    <w:p w:rsidR="007B2EDD" w:rsidRPr="002D3AEA" w:rsidRDefault="00DF54AF" w:rsidP="007B2EDD">
      <w:pPr>
        <w:jc w:val="center"/>
        <w:rPr>
          <w:rFonts w:eastAsiaTheme="minorEastAsia"/>
          <w:sz w:val="26"/>
          <w:szCs w:val="26"/>
        </w:rPr>
      </w:pPr>
      <w:r w:rsidRPr="002D3AEA">
        <w:rPr>
          <w:rFonts w:eastAsiaTheme="minorEastAsia"/>
          <w:sz w:val="26"/>
          <w:szCs w:val="26"/>
        </w:rPr>
        <w:t xml:space="preserve">Собственный перечень инсайдерской информации </w:t>
      </w:r>
    </w:p>
    <w:p w:rsidR="007B2EDD" w:rsidRPr="002D3AEA" w:rsidRDefault="00DF54AF" w:rsidP="007B2EDD">
      <w:pPr>
        <w:jc w:val="center"/>
        <w:rPr>
          <w:rFonts w:eastAsiaTheme="minorEastAsia"/>
          <w:sz w:val="26"/>
          <w:szCs w:val="26"/>
        </w:rPr>
      </w:pPr>
      <w:r w:rsidRPr="002D3AEA">
        <w:rPr>
          <w:rFonts w:eastAsiaTheme="minorEastAsia"/>
          <w:sz w:val="26"/>
          <w:szCs w:val="26"/>
        </w:rPr>
        <w:t xml:space="preserve">ПАО «Россети </w:t>
      </w:r>
      <w:r>
        <w:rPr>
          <w:rFonts w:eastAsiaTheme="minorEastAsia"/>
          <w:sz w:val="26"/>
          <w:szCs w:val="26"/>
        </w:rPr>
        <w:t>С</w:t>
      </w:r>
      <w:r w:rsidRPr="002D3AEA">
        <w:rPr>
          <w:rFonts w:eastAsiaTheme="minorEastAsia"/>
          <w:sz w:val="26"/>
          <w:szCs w:val="26"/>
        </w:rPr>
        <w:t>еверо-Запад»</w:t>
      </w:r>
    </w:p>
    <w:p w:rsidR="007B2EDD" w:rsidRPr="002D3AEA" w:rsidRDefault="007B2EDD" w:rsidP="007B2EDD">
      <w:pPr>
        <w:jc w:val="center"/>
        <w:rPr>
          <w:rFonts w:eastAsiaTheme="minorEastAsia"/>
          <w:sz w:val="26"/>
          <w:szCs w:val="26"/>
        </w:rPr>
      </w:pPr>
    </w:p>
    <w:p w:rsidR="007B2EDD" w:rsidRPr="002D3AEA" w:rsidRDefault="00DF54AF" w:rsidP="007B2EDD">
      <w:pPr>
        <w:ind w:firstLine="709"/>
        <w:jc w:val="both"/>
        <w:rPr>
          <w:rFonts w:eastAsiaTheme="minorEastAsia"/>
          <w:sz w:val="26"/>
          <w:szCs w:val="26"/>
        </w:rPr>
      </w:pPr>
      <w:r w:rsidRPr="002D3AEA">
        <w:rPr>
          <w:rFonts w:eastAsiaTheme="minorEastAsia"/>
          <w:sz w:val="26"/>
          <w:szCs w:val="26"/>
        </w:rPr>
        <w:t xml:space="preserve">К инсайдерской информации ПАО «Россети Северо-Запад» (далее – Общество) относится следующая информация: </w:t>
      </w:r>
    </w:p>
    <w:p w:rsidR="007B2EDD" w:rsidRPr="002D3AEA" w:rsidRDefault="007B2EDD" w:rsidP="007B2EDD">
      <w:pPr>
        <w:jc w:val="center"/>
        <w:rPr>
          <w:rFonts w:eastAsiaTheme="minorEastAsia"/>
          <w:sz w:val="26"/>
          <w:szCs w:val="26"/>
        </w:rPr>
      </w:pPr>
    </w:p>
    <w:p w:rsidR="007B2EDD" w:rsidRPr="00066EBC" w:rsidRDefault="00DF54AF" w:rsidP="008D0AEF">
      <w:pPr>
        <w:pStyle w:val="aa"/>
        <w:numPr>
          <w:ilvl w:val="0"/>
          <w:numId w:val="7"/>
        </w:numPr>
        <w:adjustRightInd/>
        <w:ind w:left="0" w:firstLine="567"/>
        <w:jc w:val="both"/>
        <w:rPr>
          <w:rFonts w:eastAsiaTheme="minorEastAsia"/>
          <w:sz w:val="26"/>
          <w:szCs w:val="26"/>
        </w:rPr>
      </w:pPr>
      <w:bookmarkStart w:id="1" w:name="P68"/>
      <w:bookmarkEnd w:id="1"/>
      <w:r w:rsidRPr="00066EBC">
        <w:rPr>
          <w:rFonts w:eastAsiaTheme="minorEastAsia"/>
          <w:sz w:val="26"/>
          <w:szCs w:val="26"/>
        </w:rPr>
        <w:t>Информация о созыве и проведении общего собрания акционеров Общества, об объявлении общего собрания акционеров Общества несостоявшимся, а также о решениях, принятых общим собранием акционеров Общества или единственным лицом, которому принадлежат все голосующие акции Общества.</w:t>
      </w:r>
    </w:p>
    <w:p w:rsidR="007B2EDD" w:rsidRPr="00066EBC" w:rsidRDefault="00DF54AF" w:rsidP="008D0AEF">
      <w:pPr>
        <w:pStyle w:val="aa"/>
        <w:numPr>
          <w:ilvl w:val="0"/>
          <w:numId w:val="7"/>
        </w:numPr>
        <w:adjustRightInd/>
        <w:ind w:left="0" w:firstLine="567"/>
        <w:jc w:val="both"/>
        <w:rPr>
          <w:rFonts w:eastAsiaTheme="minorEastAsia"/>
          <w:sz w:val="26"/>
          <w:szCs w:val="26"/>
        </w:rPr>
      </w:pPr>
      <w:r w:rsidRPr="00066EBC">
        <w:rPr>
          <w:rFonts w:eastAsiaTheme="minorEastAsia"/>
          <w:sz w:val="26"/>
          <w:szCs w:val="26"/>
        </w:rPr>
        <w:t>Информация о проведении заседания совета директоров Общества и его повестке дня, а также об отдельных решениях, принятых советом директоров Общества:</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предложении общему собранию акционеров Общества 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размещении или реализации ценных бумаг Общества;</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об определении или о порядке определения цены размещения акций или ценных бумаг, конвертируемых в акции, Общества;</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об образовании исполнительного органа Общества и о досрочном прекращении (приостановлении) его полномочий, в том числе полномочий управляющей организации или управляющего;</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включении кандидатов в список кандидатур для голосования на общем собрании акционеров Общества по вопросу об избрании членов совета директоров Общества;</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рекомендациях в отношении размера дивидендов по акциям Общества и порядка их выплаты;</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об утверждении внутренних документов Общества;</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согласии на совершение или о последующем одобрении сделки (нескольких взаимосвязанных сделок) Общества,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(финансовой отчетности) Общества на последнюю отчетную дату (дату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7B2EDD" w:rsidRPr="00066EBC" w:rsidRDefault="00DF54AF" w:rsidP="007B2EDD">
      <w:pPr>
        <w:pStyle w:val="aa"/>
        <w:numPr>
          <w:ilvl w:val="0"/>
          <w:numId w:val="6"/>
        </w:numPr>
        <w:adjustRightInd/>
        <w:jc w:val="both"/>
        <w:rPr>
          <w:rFonts w:eastAsiaTheme="minorEastAsia"/>
          <w:sz w:val="26"/>
          <w:szCs w:val="26"/>
        </w:rPr>
      </w:pPr>
      <w:r w:rsidRPr="00066EBC">
        <w:rPr>
          <w:rFonts w:eastAsiaTheme="minorEastAsia"/>
          <w:sz w:val="26"/>
          <w:szCs w:val="26"/>
        </w:rPr>
        <w:t>о передаче полномочий единоличного исполнительного органа Общества управляющей организации или управляющему, об утверждении управляющей организации или управляющего и условий договора, заключаемого Обществом с управляющей организацией или управляющим;</w:t>
      </w:r>
    </w:p>
    <w:p w:rsidR="007B2EDD" w:rsidRPr="00066EBC" w:rsidRDefault="00DF54AF" w:rsidP="006676C7">
      <w:pPr>
        <w:pStyle w:val="aa"/>
        <w:numPr>
          <w:ilvl w:val="0"/>
          <w:numId w:val="6"/>
        </w:numPr>
        <w:adjustRightInd/>
        <w:jc w:val="both"/>
        <w:rPr>
          <w:rFonts w:eastAsiaTheme="minorEastAsia"/>
          <w:sz w:val="26"/>
          <w:szCs w:val="26"/>
        </w:rPr>
      </w:pPr>
      <w:r w:rsidRPr="00066EBC">
        <w:rPr>
          <w:rFonts w:eastAsiaTheme="minorEastAsia"/>
          <w:sz w:val="26"/>
          <w:szCs w:val="26"/>
        </w:rPr>
        <w:t>об утверждении регистратора, осуществляющего ведение реестра владельцев ценных бумаг Общества, условий договора с ним в части ведения реестра владельцев ценных бумаг Общества, а так</w:t>
      </w:r>
      <w:r w:rsidR="006676C7" w:rsidRPr="00066EBC">
        <w:rPr>
          <w:rFonts w:eastAsiaTheme="minorEastAsia"/>
          <w:sz w:val="26"/>
          <w:szCs w:val="26"/>
        </w:rPr>
        <w:t>же о расторжении договора с ним</w:t>
      </w:r>
      <w:r w:rsidR="00E5179C" w:rsidRPr="00066EBC">
        <w:rPr>
          <w:rFonts w:eastAsiaTheme="minorEastAsia"/>
          <w:sz w:val="26"/>
          <w:szCs w:val="26"/>
        </w:rPr>
        <w:t>;</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 xml:space="preserve">определение приоритетных направлений деятельности Общества, утверждение долгосрочных программ развития Общества (в том числе одобрение инвестиционной </w:t>
      </w:r>
      <w:r w:rsidRPr="00066EBC">
        <w:rPr>
          <w:rFonts w:eastAsia="Calibri"/>
          <w:color w:val="000000"/>
          <w:sz w:val="26"/>
          <w:szCs w:val="26"/>
        </w:rPr>
        <w:lastRenderedPageBreak/>
        <w:t>программы Общества) и внесение изменений в них</w:t>
      </w:r>
      <w:r>
        <w:rPr>
          <w:rFonts w:eastAsia="Calibri"/>
          <w:sz w:val="26"/>
          <w:szCs w:val="26"/>
          <w:vertAlign w:val="superscript"/>
        </w:rPr>
        <w:footnoteReference w:id="1"/>
      </w:r>
      <w:r w:rsidRPr="00066EBC">
        <w:rPr>
          <w:rFonts w:eastAsia="Calibri"/>
          <w:color w:val="000000"/>
          <w:sz w:val="26"/>
          <w:szCs w:val="26"/>
        </w:rPr>
        <w:t>;</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участие и прекращение участия Общества в других организациях;</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определение кредитной политики Общества;</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определение позиции Общества (представителей Общества) по вопросам повесток дня Общих собраний акционеров и заседаний Советов директоров подконтрольных Обществу юридических лиц, имеющих для Общества существенное значение</w:t>
      </w:r>
      <w:r>
        <w:rPr>
          <w:rFonts w:eastAsia="Calibri"/>
          <w:sz w:val="26"/>
          <w:szCs w:val="26"/>
          <w:vertAlign w:val="superscript"/>
        </w:rPr>
        <w:footnoteReference w:id="2"/>
      </w:r>
      <w:r w:rsidRPr="00066EBC">
        <w:rPr>
          <w:rFonts w:eastAsia="Calibri"/>
          <w:color w:val="000000"/>
          <w:sz w:val="26"/>
          <w:szCs w:val="26"/>
        </w:rPr>
        <w:t>;</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 xml:space="preserve">одобрение совершения Обществом: </w:t>
      </w:r>
    </w:p>
    <w:p w:rsidR="006676C7" w:rsidRPr="00066EBC" w:rsidRDefault="00DF54AF" w:rsidP="006676C7">
      <w:pPr>
        <w:pStyle w:val="aa"/>
        <w:numPr>
          <w:ilvl w:val="0"/>
          <w:numId w:val="8"/>
        </w:numPr>
        <w:jc w:val="both"/>
        <w:rPr>
          <w:rFonts w:eastAsia="Calibri"/>
          <w:color w:val="000000"/>
          <w:sz w:val="26"/>
          <w:szCs w:val="26"/>
        </w:rPr>
      </w:pPr>
      <w:r w:rsidRPr="00066EBC">
        <w:rPr>
          <w:rFonts w:eastAsia="Calibri"/>
          <w:color w:val="000000"/>
          <w:sz w:val="26"/>
          <w:szCs w:val="26"/>
        </w:rPr>
        <w:t xml:space="preserve">а) сделок, предметом которых являются </w:t>
      </w:r>
      <w:proofErr w:type="spellStart"/>
      <w:r w:rsidRPr="00066EBC">
        <w:rPr>
          <w:rFonts w:eastAsia="Calibri"/>
          <w:color w:val="000000"/>
          <w:sz w:val="26"/>
          <w:szCs w:val="26"/>
        </w:rPr>
        <w:t>внеоборотные</w:t>
      </w:r>
      <w:proofErr w:type="spellEnd"/>
      <w:r w:rsidRPr="00066EBC">
        <w:rPr>
          <w:rFonts w:eastAsia="Calibri"/>
          <w:color w:val="000000"/>
          <w:sz w:val="26"/>
          <w:szCs w:val="26"/>
        </w:rPr>
        <w:t xml:space="preserve"> активы Общества в размере свыше 10 (Десяти) процентов балансовой стоимости этих активов Общества на дату принятия решения о совершении такой сделки; </w:t>
      </w:r>
    </w:p>
    <w:p w:rsidR="006676C7" w:rsidRPr="00066EBC" w:rsidRDefault="00DF54AF" w:rsidP="006676C7">
      <w:pPr>
        <w:pStyle w:val="aa"/>
        <w:numPr>
          <w:ilvl w:val="0"/>
          <w:numId w:val="8"/>
        </w:numPr>
        <w:jc w:val="both"/>
        <w:rPr>
          <w:rFonts w:eastAsia="Calibri"/>
          <w:color w:val="000000"/>
          <w:sz w:val="26"/>
          <w:szCs w:val="26"/>
        </w:rPr>
      </w:pPr>
      <w:r w:rsidRPr="00066EBC">
        <w:rPr>
          <w:rFonts w:eastAsia="Calibri"/>
          <w:color w:val="000000"/>
          <w:sz w:val="26"/>
          <w:szCs w:val="26"/>
        </w:rPr>
        <w:t xml:space="preserve">б)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незавершённого строительства, целью использования которых является производство, передача, </w:t>
      </w:r>
      <w:proofErr w:type="spellStart"/>
      <w:r w:rsidRPr="00066EBC">
        <w:rPr>
          <w:rFonts w:eastAsia="Calibri"/>
          <w:color w:val="000000"/>
          <w:sz w:val="26"/>
          <w:szCs w:val="26"/>
        </w:rPr>
        <w:t>диспетчирование</w:t>
      </w:r>
      <w:proofErr w:type="spellEnd"/>
      <w:r w:rsidRPr="00066EBC">
        <w:rPr>
          <w:rFonts w:eastAsia="Calibri"/>
          <w:color w:val="000000"/>
          <w:sz w:val="26"/>
          <w:szCs w:val="26"/>
        </w:rPr>
        <w:t xml:space="preserve">, распределение электрической и тепловой энергии, балансовая стоимость которого превышает 75 млн. рублей; </w:t>
      </w:r>
    </w:p>
    <w:p w:rsidR="006676C7" w:rsidRPr="00066EBC" w:rsidRDefault="00DF54AF" w:rsidP="006676C7">
      <w:pPr>
        <w:pStyle w:val="aa"/>
        <w:numPr>
          <w:ilvl w:val="0"/>
          <w:numId w:val="8"/>
        </w:numPr>
        <w:jc w:val="both"/>
        <w:rPr>
          <w:rFonts w:eastAsia="Calibri"/>
          <w:color w:val="000000"/>
          <w:sz w:val="26"/>
          <w:szCs w:val="26"/>
        </w:rPr>
      </w:pPr>
      <w:r w:rsidRPr="00066EBC">
        <w:rPr>
          <w:rFonts w:eastAsia="Calibri"/>
          <w:color w:val="000000"/>
          <w:sz w:val="26"/>
          <w:szCs w:val="26"/>
        </w:rPr>
        <w:t xml:space="preserve">в)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незавершённого строительства, целью использования которых не является производство, передача, </w:t>
      </w:r>
      <w:proofErr w:type="spellStart"/>
      <w:r w:rsidRPr="00066EBC">
        <w:rPr>
          <w:rFonts w:eastAsia="Calibri"/>
          <w:color w:val="000000"/>
          <w:sz w:val="26"/>
          <w:szCs w:val="26"/>
        </w:rPr>
        <w:t>диспетчирование</w:t>
      </w:r>
      <w:proofErr w:type="spellEnd"/>
      <w:r w:rsidRPr="00066EBC">
        <w:rPr>
          <w:rFonts w:eastAsia="Calibri"/>
          <w:color w:val="000000"/>
          <w:sz w:val="26"/>
          <w:szCs w:val="26"/>
        </w:rPr>
        <w:t>, распределение электрической и тепловой энергии, балансовая или рыночная стоимость которых превышает 150 млн. рублей;</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утверждение методики расчета и оценки выполнения ключевых показателей эффективности (КПЭ) высших менеджеров Общества, их целевых значений (скорректированных значений).</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определение принципов и подходов к организации систем управления рисками и внутреннего контроля в Обществе, в том числе утверждение внутренних документов Общества, определяющих политики Общества в области организации управления рисками и внутреннего контроля.</w:t>
      </w:r>
    </w:p>
    <w:p w:rsidR="006676C7" w:rsidRPr="00066EBC" w:rsidRDefault="00DF54AF" w:rsidP="006676C7">
      <w:pPr>
        <w:pStyle w:val="aa"/>
        <w:numPr>
          <w:ilvl w:val="0"/>
          <w:numId w:val="6"/>
        </w:numPr>
        <w:jc w:val="both"/>
        <w:rPr>
          <w:rFonts w:eastAsia="Calibri"/>
          <w:color w:val="000000"/>
          <w:sz w:val="26"/>
          <w:szCs w:val="26"/>
        </w:rPr>
      </w:pPr>
      <w:r w:rsidRPr="00066EBC">
        <w:rPr>
          <w:rFonts w:eastAsia="Calibri"/>
          <w:color w:val="000000"/>
          <w:sz w:val="26"/>
          <w:szCs w:val="26"/>
        </w:rPr>
        <w:t>определение принципов и подходов к организации внутреннего аудита, в том числе утверждение внутренних документов Общества, определяющих политику Общества в области организации внутреннего аудита Общества.</w:t>
      </w:r>
    </w:p>
    <w:p w:rsidR="006676C7" w:rsidRPr="00066EBC" w:rsidRDefault="006676C7" w:rsidP="006676C7">
      <w:pPr>
        <w:pStyle w:val="aa"/>
        <w:adjustRightInd/>
        <w:jc w:val="both"/>
        <w:rPr>
          <w:rFonts w:eastAsiaTheme="minorEastAsia"/>
          <w:sz w:val="26"/>
          <w:szCs w:val="26"/>
        </w:rPr>
      </w:pP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принятии решения о реорганизации или ликвидации лица, предоставившего обеспечение по облигациям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появлении у Общества или лица, предоставившего обеспечение по облигациям Общества, признаков банкротства, предусмотренных Федеральным </w:t>
      </w:r>
      <w:hyperlink r:id="rId8" w:history="1">
        <w:r w:rsidRPr="00066EBC">
          <w:rPr>
            <w:rFonts w:eastAsiaTheme="minorEastAsia"/>
            <w:sz w:val="26"/>
            <w:szCs w:val="26"/>
          </w:rPr>
          <w:t>законом</w:t>
        </w:r>
      </w:hyperlink>
      <w:r w:rsidRPr="00066EBC">
        <w:rPr>
          <w:rFonts w:eastAsiaTheme="minorEastAsia"/>
          <w:sz w:val="26"/>
          <w:szCs w:val="26"/>
        </w:rPr>
        <w:t xml:space="preserve"> от 26 октября 2002 года N 127-ФЗ «О несостоятельности (банкротстве)».</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принятии арбитражным судом заявления о признании Общества несостоятельным (банкротом), а также о принятии арбитражным судом решения о признании Общества несостоятельным (банкротом), введении в отношении Общества одной из процедур банкротства, прекращении в отношении Общества производства по делу о банкротстве.</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дате, на которую определяются (фиксируются) лица, имеющие право на осуществление прав по ценным бумагам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lastRenderedPageBreak/>
        <w:t>Информация об этапах процедуры эмиссии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приостановлении и возобновлении эмиссии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признании программы облигаций несостоявшейся, о признании выпуска (дополнительного выпуска) ценных бумаг Общества несостоявшимся или недействительным.</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погашении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принятии решения о приобретении (наступлении оснований для приобретения) Обществом размещенных им ценных бумаг.</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начисленных (объявленных) и (или) выплаченных доходах по ценным бумагам Общества, об иных выплатах, причитающихся владельцам ценных бумаг Общества, а также о намерении исполнить обязанность по осуществлению выплат по облигациям Общества, права на которые учитываются в реестре владельцев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включении ценных бумаг Общества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Общества российской биржей в котировальный список, или об исключении ценных бумаг Общества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 ценных бумаг Общества российской биржей из котировального списка, а также о переводе ценных бумаг Общества из одного котировального списка в другой котировальный список (об исключении ценных бумаг Общества из одного котировального списка и о включении их в другой котировальный список).</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включении ценных бумаг Общества (ценных бумаг иностранной организации, удостоверяющих права в отношении ценных бумаг российских эмитентов (далее - депозитарные ценные бумаги)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Общества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неисполнении обязательств Общества перед владельцами его ценных бумаг, а также об изменении общего количества облигаций, обязательства по досрочному погашению которых не исполнены.</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Общества, распоряжаться определенным количеством голосов, приходящихся на голосующие акции, составляющие уставный капитал Общества,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поступившем Обществу в соответствии с </w:t>
      </w:r>
      <w:hyperlink r:id="rId9" w:history="1">
        <w:r w:rsidRPr="00066EBC">
          <w:rPr>
            <w:rFonts w:eastAsiaTheme="minorEastAsia"/>
            <w:sz w:val="26"/>
            <w:szCs w:val="26"/>
          </w:rPr>
          <w:t>главой XI.1</w:t>
        </w:r>
      </w:hyperlink>
      <w:r w:rsidRPr="00066EBC">
        <w:rPr>
          <w:rFonts w:eastAsiaTheme="minorEastAsia"/>
          <w:sz w:val="26"/>
          <w:szCs w:val="26"/>
        </w:rPr>
        <w:t xml:space="preserve"> Федерального закона от 26 декабря 1995 года N 208-ФЗ «Об акционерных обществах» (далее </w:t>
      </w:r>
      <w:r w:rsidRPr="00066EBC">
        <w:rPr>
          <w:rFonts w:eastAsiaTheme="minorEastAsia"/>
          <w:sz w:val="26"/>
          <w:szCs w:val="26"/>
        </w:rPr>
        <w:lastRenderedPageBreak/>
        <w:t>- Федеральный закон «Об акционерных обществах»)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поступившем Обществу в соответствии с </w:t>
      </w:r>
      <w:hyperlink r:id="rId10" w:history="1">
        <w:r w:rsidRPr="00066EBC">
          <w:rPr>
            <w:rFonts w:eastAsiaTheme="minorEastAsia"/>
            <w:sz w:val="26"/>
            <w:szCs w:val="26"/>
          </w:rPr>
          <w:t>главой XI.1</w:t>
        </w:r>
      </w:hyperlink>
      <w:r w:rsidRPr="00066EBC">
        <w:rPr>
          <w:rFonts w:eastAsiaTheme="minorEastAsia"/>
          <w:sz w:val="26"/>
          <w:szCs w:val="26"/>
        </w:rPr>
        <w:t xml:space="preserve"> Федерального закона «Об акционерных обществах» уведомлении о праве требовать выкупа ценных бумаг Общества или требовании о выкупе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выявлении ошибок в ранее раскрытой отчетности Общества (бухгалтерской (финансовой) отчетности, консолидированной финансовой отчетности, финансовой отчетности).</w:t>
      </w:r>
    </w:p>
    <w:p w:rsidR="007B2EDD" w:rsidRPr="00066EBC" w:rsidRDefault="00DF54AF" w:rsidP="007B2EDD">
      <w:pPr>
        <w:pStyle w:val="aa"/>
        <w:numPr>
          <w:ilvl w:val="0"/>
          <w:numId w:val="7"/>
        </w:numPr>
        <w:adjustRightInd/>
        <w:ind w:left="0" w:firstLine="709"/>
        <w:jc w:val="both"/>
        <w:rPr>
          <w:rFonts w:eastAsiaTheme="minorEastAsia"/>
          <w:sz w:val="26"/>
          <w:szCs w:val="26"/>
        </w:rPr>
      </w:pPr>
      <w:bookmarkStart w:id="2" w:name="P142"/>
      <w:bookmarkEnd w:id="2"/>
      <w:r w:rsidRPr="00066EBC">
        <w:rPr>
          <w:rFonts w:eastAsiaTheme="minorEastAsia"/>
          <w:sz w:val="26"/>
          <w:szCs w:val="26"/>
        </w:rPr>
        <w:t xml:space="preserve">Информация о совершении Обществом или подконтрольной Обществу организацией, имеющей для него существенное значение, определяемой в соответствии с </w:t>
      </w:r>
      <w:hyperlink r:id="rId11" w:history="1">
        <w:r w:rsidRPr="00066EBC">
          <w:rPr>
            <w:rFonts w:eastAsiaTheme="minorEastAsia"/>
            <w:sz w:val="26"/>
            <w:szCs w:val="26"/>
          </w:rPr>
          <w:t>пунктом 1.14</w:t>
        </w:r>
      </w:hyperlink>
      <w:r w:rsidRPr="00066EBC">
        <w:rPr>
          <w:rFonts w:eastAsiaTheme="minorEastAsia"/>
          <w:sz w:val="26"/>
          <w:szCs w:val="26"/>
        </w:rPr>
        <w:t xml:space="preserve"> Положения Банка России N 714-П (далее - подконтрольная Обществу организация, имеющая для него существенное значение), сделки, размер которой составляет 10 и более процентов стоимости активов, определенной по данным консолидированной финансовой отчетности Общества на последнюю отчетную дату (дату окончания последнего завершенного отчетного периода, предшествующего дате совершения сделки).</w:t>
      </w:r>
    </w:p>
    <w:p w:rsidR="007B2EDD" w:rsidRPr="00066EBC" w:rsidRDefault="00DF54AF" w:rsidP="007B2EDD">
      <w:pPr>
        <w:pStyle w:val="aa"/>
        <w:numPr>
          <w:ilvl w:val="0"/>
          <w:numId w:val="7"/>
        </w:numPr>
        <w:adjustRightInd/>
        <w:ind w:left="0" w:firstLine="709"/>
        <w:jc w:val="both"/>
        <w:rPr>
          <w:rFonts w:eastAsiaTheme="minorEastAsia"/>
          <w:sz w:val="26"/>
          <w:szCs w:val="26"/>
        </w:rPr>
      </w:pPr>
      <w:bookmarkStart w:id="3" w:name="P146"/>
      <w:bookmarkEnd w:id="3"/>
      <w:r w:rsidRPr="00066EBC">
        <w:rPr>
          <w:rFonts w:eastAsiaTheme="minorEastAsia"/>
          <w:sz w:val="26"/>
          <w:szCs w:val="26"/>
        </w:rPr>
        <w:t xml:space="preserve">Информация о совершении Обществом  или подконтрольной Обществу организацией, имеющей для него существенное значение, сделки, в совершении которой имеется заинтересованность, соответствующей признакам, указанным в </w:t>
      </w:r>
      <w:hyperlink r:id="rId12" w:history="1">
        <w:r w:rsidRPr="00066EBC">
          <w:rPr>
            <w:rFonts w:eastAsiaTheme="minorEastAsia"/>
            <w:sz w:val="26"/>
            <w:szCs w:val="26"/>
          </w:rPr>
          <w:t>пункте 35.1</w:t>
        </w:r>
      </w:hyperlink>
      <w:r w:rsidRPr="00066EBC">
        <w:rPr>
          <w:rFonts w:eastAsiaTheme="minorEastAsia"/>
          <w:sz w:val="26"/>
          <w:szCs w:val="26"/>
        </w:rPr>
        <w:t xml:space="preserve"> Положения Банка России N 714-П.</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об изменении состава и (или) размера предмета залога по облигациям Общества с залоговым обеспечением, а в случае изменения состава и (или) размера предмета залога по облигациям Общества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 10 и более процентов от размера ипотечного покрытия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получении Обществом или прекращении у Общества права прямо или косвенно (через подконтрольных ему лиц) самостоятельно или совместно с иными лицами, связанными с Обществом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заключении контролирующим Общество лицом или подконтрольной Обществу организацией договора, предусматривающего обязанность приобретать ценные бумаги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возникновении и (или) прекращении у владельцев облигаций Общества права требовать от Общества досрочного погашения принадлежащих им облигаций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bookmarkStart w:id="4" w:name="P161"/>
      <w:bookmarkEnd w:id="4"/>
      <w:r w:rsidRPr="00066EBC">
        <w:rPr>
          <w:rFonts w:eastAsiaTheme="minorEastAsia"/>
          <w:sz w:val="26"/>
          <w:szCs w:val="26"/>
        </w:rPr>
        <w:t>Информация о присвоении рейтинга ценным бумагам и (или) их Обществу, а также об изменении рейтинга кредитным рейтинговым агентством или иной организацией на основании заключенного с Обществом договора.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возбуждении производства по делу в суде по спору, связанному с созданием Общества, управлением им или участием в нем (далее - корпоративный спор), или иному спору, истцом или ответчиком по которому является Общество и размер требований по которому составляет 10 и более процентов балансовой стоимости активов, </w:t>
      </w:r>
      <w:r w:rsidRPr="00066EBC">
        <w:rPr>
          <w:rFonts w:eastAsiaTheme="minorEastAsia"/>
          <w:sz w:val="26"/>
          <w:szCs w:val="26"/>
        </w:rPr>
        <w:lastRenderedPageBreak/>
        <w:t xml:space="preserve">определенной по данным бухгалтерской (финансовой) отчетности Общества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w:t>
      </w:r>
      <w:hyperlink r:id="rId13" w:history="1">
        <w:r w:rsidRPr="00066EBC">
          <w:rPr>
            <w:rFonts w:eastAsiaTheme="minorEastAsia"/>
            <w:sz w:val="26"/>
            <w:szCs w:val="26"/>
          </w:rPr>
          <w:t>пункте 41.6</w:t>
        </w:r>
      </w:hyperlink>
      <w:r w:rsidRPr="00066EBC">
        <w:rPr>
          <w:rFonts w:eastAsiaTheme="minorEastAsia"/>
          <w:sz w:val="26"/>
          <w:szCs w:val="26"/>
        </w:rPr>
        <w:t xml:space="preserve"> Положения Банка России N 714-П.</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решении Банка России об освобождении Общества от обязанности осуществлять раскрытие информации в соответствии со </w:t>
      </w:r>
      <w:hyperlink r:id="rId14" w:history="1">
        <w:r w:rsidRPr="00066EBC">
          <w:rPr>
            <w:rFonts w:eastAsiaTheme="minorEastAsia"/>
            <w:sz w:val="26"/>
            <w:szCs w:val="26"/>
          </w:rPr>
          <w:t>статьей 30</w:t>
        </w:r>
      </w:hyperlink>
      <w:r w:rsidRPr="00066EBC">
        <w:rPr>
          <w:rFonts w:eastAsiaTheme="minorEastAsia"/>
          <w:sz w:val="26"/>
          <w:szCs w:val="26"/>
        </w:rPr>
        <w:t xml:space="preserve"> Федерального закона «О рынке ценных бумаг».</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приобретении (отчуждении) голосующих акций Общества или депозитарных ценных бумаг, удостоверяющих права в отношении голосующих акций Общества, Обществом или подконтрольной Обществу организацией, за исключением случаев приобретения голосующих акций Общества (депозитарных ценных бумаг, удостоверяющих права в отношении голосующих акций Общества) в процессе размещения голосующих акций Общества или приобретения (отчуждения) голосующих акций Общества (депозитарных ценных бумаг, удостоверяющих права в отношении голосующих акций Общества) брокером и (или) доверительным управляющим, действующими от своего имени, но за счет клиента во исполнение поручения клиента.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проведении и повестке дня общего собрания владельцев облигаций Общества, о решениях, принятых общим собранием владельцев облигаций Общества, а также об объявлении общего собрания владельцев облигаций Общества несостоявшимся.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об определении Обществом</w:t>
      </w:r>
      <w:r w:rsidR="00EE7F5A" w:rsidRPr="00EE7F5A">
        <w:rPr>
          <w:rFonts w:eastAsiaTheme="minorEastAsia"/>
          <w:sz w:val="26"/>
          <w:szCs w:val="26"/>
        </w:rPr>
        <w:t xml:space="preserve"> </w:t>
      </w:r>
      <w:r w:rsidR="00EE7F5A">
        <w:rPr>
          <w:rFonts w:eastAsiaTheme="minorEastAsia"/>
          <w:sz w:val="26"/>
          <w:szCs w:val="26"/>
        </w:rPr>
        <w:t>–</w:t>
      </w:r>
      <w:r w:rsidR="00EE7F5A" w:rsidRPr="00EE7F5A">
        <w:rPr>
          <w:rFonts w:eastAsiaTheme="minorEastAsia"/>
          <w:sz w:val="26"/>
          <w:szCs w:val="26"/>
        </w:rPr>
        <w:t xml:space="preserve"> </w:t>
      </w:r>
      <w:r w:rsidR="00EE7F5A">
        <w:rPr>
          <w:rFonts w:eastAsiaTheme="minorEastAsia"/>
          <w:sz w:val="26"/>
          <w:szCs w:val="26"/>
        </w:rPr>
        <w:t xml:space="preserve">эмитентом </w:t>
      </w:r>
      <w:r w:rsidRPr="00066EBC">
        <w:rPr>
          <w:rFonts w:eastAsiaTheme="minorEastAsia"/>
          <w:sz w:val="26"/>
          <w:szCs w:val="26"/>
        </w:rPr>
        <w:t>облигаций представителя владельцев облигаций после регистрации выпуска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дате, с которой представитель владельцев облигаций осуществляет свои полномочия.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заключении Обществом соглашения о новации или предоставлении отступного, влекущего прекращение обязательств по облигациям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возникновении у владельцев конвертируемых ценных бумаг Общества права требовать от Общества конвертации принадлежащих им конвертируемых ценных бумаг Общества.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об отобранном Обществом проекте (проектах), для финансирования и (или) рефинансирования которого (которых) используются (будут использоваться) денежные средства, полученные от размещения облигаций, выпуск (программа) которых дополнительно идентифицирован (идентифицирована) с использованием слов «зеленые облигации», «социальные облигации», «облигации устойчивого развития», «адаптационные облигации» (далее соответственно - зеленые облигации, социальные облигации, облигации устойчивого развития, адаптационные облигации), в случае если такой проект (проекты) не указан в решении о выпуске зеленых облигаций, социальных облигаций, облигаций устойчивого развития, адаптационных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 (идентифицирована) с использованием слов «облигации, связанные с целями устойчивого развития» (далее - облигации, связанные с целями устойчивого развития), адаптационных облигаций либо политики Общества по использованию </w:t>
      </w:r>
      <w:r w:rsidRPr="00066EBC">
        <w:rPr>
          <w:rFonts w:eastAsiaTheme="minorEastAsia"/>
          <w:sz w:val="26"/>
          <w:szCs w:val="26"/>
        </w:rPr>
        <w:lastRenderedPageBreak/>
        <w:t>денежных средств, полученных от размещения указанных облигаций, или проекта (проектов), на финансирование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проведении и результатах независимой внешней оценки изменений, внесенных в политику Общества по использованию денежных средств, полученных от размещения зеленых облигаций, социальных облигаций, облигаций устойчивого развития, адаптационных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Общества и их промежуточных и конечных значений, </w:t>
      </w:r>
      <w:proofErr w:type="spellStart"/>
      <w:r w:rsidRPr="00066EBC">
        <w:rPr>
          <w:rFonts w:eastAsiaTheme="minorEastAsia"/>
          <w:sz w:val="26"/>
          <w:szCs w:val="26"/>
        </w:rPr>
        <w:t>международно</w:t>
      </w:r>
      <w:proofErr w:type="spellEnd"/>
      <w:r w:rsidRPr="00066EBC">
        <w:rPr>
          <w:rFonts w:eastAsiaTheme="minorEastAsia"/>
          <w:sz w:val="26"/>
          <w:szCs w:val="26"/>
        </w:rPr>
        <w:t xml:space="preserve"> признанного сценария изменения климата, являющегося основой для разработки стратегии климатического перехода Общества, а также влияют на достижимость промежуточных и конечных значений целевых показателей деятельности Общества путем реализации стратегии климатического перехода Общества) Общества</w:t>
      </w:r>
      <w:r w:rsidR="00EE7F5A">
        <w:rPr>
          <w:rFonts w:eastAsiaTheme="minorEastAsia"/>
          <w:sz w:val="26"/>
          <w:szCs w:val="26"/>
        </w:rPr>
        <w:t xml:space="preserve"> – эмитента </w:t>
      </w:r>
      <w:r w:rsidRPr="00066EBC">
        <w:rPr>
          <w:rFonts w:eastAsiaTheme="minorEastAsia"/>
          <w:sz w:val="26"/>
          <w:szCs w:val="26"/>
        </w:rPr>
        <w:t>облигаций, выпуск (программа) которых дополнительно идентифицирован (идентифицирована) с использованием слов «облигации климатического перехода» (далее - облигации климатического перехода).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(идентифицирована) с использованием слов «инфраструктурные облигации», социальных облигаций, облигаций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центра Государственной корпорации развития «ВЭБ.РФ» в информационно-телекоммуникационной сети «Интернет», или в перечень финансовых инструментов устойчивого развития, ведение которого осуществляется Международной ассоциацией рынков капитала (ICMA) или Международной некоммерческой организацией «Инициатива климатических облигаций» (CBI), и об исключении таких облигаций из указанного перечня.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достижении или </w:t>
      </w:r>
      <w:proofErr w:type="spellStart"/>
      <w:r w:rsidRPr="00066EBC">
        <w:rPr>
          <w:rFonts w:eastAsiaTheme="minorEastAsia"/>
          <w:sz w:val="26"/>
          <w:szCs w:val="26"/>
        </w:rPr>
        <w:t>недостижении</w:t>
      </w:r>
      <w:proofErr w:type="spellEnd"/>
      <w:r w:rsidRPr="00066EBC">
        <w:rPr>
          <w:rFonts w:eastAsiaTheme="minorEastAsia"/>
          <w:sz w:val="26"/>
          <w:szCs w:val="26"/>
        </w:rPr>
        <w:t xml:space="preserve"> промежуточных (при наличии) или конечного целевых значений ключевого показателя (показателей) деятельности Общества </w:t>
      </w:r>
      <w:r w:rsidR="00EE7F5A">
        <w:rPr>
          <w:rFonts w:eastAsiaTheme="minorEastAsia"/>
          <w:sz w:val="26"/>
          <w:szCs w:val="26"/>
        </w:rPr>
        <w:t xml:space="preserve">– эмитента </w:t>
      </w:r>
      <w:r w:rsidRPr="00066EBC">
        <w:rPr>
          <w:rFonts w:eastAsiaTheme="minorEastAsia"/>
          <w:sz w:val="26"/>
          <w:szCs w:val="26"/>
        </w:rPr>
        <w:t>облигаций, указанного (указанных) в решении о выпуске облигаций, связанных с целями устойчивого развития.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достижении или </w:t>
      </w:r>
      <w:proofErr w:type="spellStart"/>
      <w:r w:rsidRPr="00066EBC">
        <w:rPr>
          <w:rFonts w:eastAsiaTheme="minorEastAsia"/>
          <w:sz w:val="26"/>
          <w:szCs w:val="26"/>
        </w:rPr>
        <w:t>недостижении</w:t>
      </w:r>
      <w:proofErr w:type="spellEnd"/>
      <w:r w:rsidRPr="00066EBC">
        <w:rPr>
          <w:rFonts w:eastAsiaTheme="minorEastAsia"/>
          <w:sz w:val="26"/>
          <w:szCs w:val="26"/>
        </w:rPr>
        <w:t xml:space="preserve"> промежуточных или конечных значений целевых показателей деятельности Общества </w:t>
      </w:r>
      <w:r w:rsidR="00EE7F5A">
        <w:rPr>
          <w:rFonts w:eastAsiaTheme="minorEastAsia"/>
          <w:sz w:val="26"/>
          <w:szCs w:val="26"/>
        </w:rPr>
        <w:t xml:space="preserve">– эмитента </w:t>
      </w:r>
      <w:r w:rsidRPr="00066EBC">
        <w:rPr>
          <w:rFonts w:eastAsiaTheme="minorEastAsia"/>
          <w:sz w:val="26"/>
          <w:szCs w:val="26"/>
        </w:rPr>
        <w:t xml:space="preserve">облигаций климатического перехода, указанных в стратегии Общества по изменению его деятельности в целях перехода к </w:t>
      </w:r>
      <w:proofErr w:type="spellStart"/>
      <w:r w:rsidRPr="00066EBC">
        <w:rPr>
          <w:rFonts w:eastAsiaTheme="minorEastAsia"/>
          <w:sz w:val="26"/>
          <w:szCs w:val="26"/>
        </w:rPr>
        <w:t>низкоуглеродной</w:t>
      </w:r>
      <w:proofErr w:type="spellEnd"/>
      <w:r w:rsidRPr="00066EBC">
        <w:rPr>
          <w:rFonts w:eastAsiaTheme="minorEastAsia"/>
          <w:sz w:val="26"/>
          <w:szCs w:val="26"/>
        </w:rPr>
        <w:t xml:space="preserve"> экономике (</w:t>
      </w:r>
      <w:proofErr w:type="spellStart"/>
      <w:r w:rsidRPr="00066EBC">
        <w:rPr>
          <w:rFonts w:eastAsiaTheme="minorEastAsia"/>
          <w:sz w:val="26"/>
          <w:szCs w:val="26"/>
        </w:rPr>
        <w:t>энергоперехода</w:t>
      </w:r>
      <w:proofErr w:type="spellEnd"/>
      <w:r w:rsidRPr="00066EBC">
        <w:rPr>
          <w:rFonts w:eastAsiaTheme="minorEastAsia"/>
          <w:sz w:val="26"/>
          <w:szCs w:val="26"/>
        </w:rPr>
        <w:t xml:space="preserve">), предотвращения изменений климата и достижения иных целей, установленных Парижским </w:t>
      </w:r>
      <w:hyperlink r:id="rId15" w:history="1">
        <w:r w:rsidRPr="00066EBC">
          <w:rPr>
            <w:rFonts w:eastAsiaTheme="minorEastAsia"/>
            <w:sz w:val="26"/>
            <w:szCs w:val="26"/>
          </w:rPr>
          <w:t>соглашением</w:t>
        </w:r>
      </w:hyperlink>
      <w:r w:rsidRPr="00066EBC">
        <w:rPr>
          <w:rFonts w:eastAsiaTheme="minorEastAsia"/>
          <w:sz w:val="26"/>
          <w:szCs w:val="26"/>
        </w:rPr>
        <w:t xml:space="preserve"> от 12 декабря 2015 года, принятым </w:t>
      </w:r>
      <w:hyperlink r:id="rId16" w:history="1">
        <w:r w:rsidRPr="00066EBC">
          <w:rPr>
            <w:rFonts w:eastAsiaTheme="minorEastAsia"/>
            <w:sz w:val="26"/>
            <w:szCs w:val="26"/>
          </w:rPr>
          <w:t>постановлением</w:t>
        </w:r>
      </w:hyperlink>
      <w:r w:rsidRPr="00066EBC">
        <w:rPr>
          <w:rFonts w:eastAsiaTheme="minorEastAsia"/>
          <w:sz w:val="26"/>
          <w:szCs w:val="26"/>
        </w:rPr>
        <w:t xml:space="preserve"> Правительства Российской Федерации от 21 сентября 2019 года N 1228 «О принятии Парижского соглашения» (вступило в силу для Российской Федерации 6 ноября 2019 года).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lastRenderedPageBreak/>
        <w:t>Информация, составляющая годовую консолидированную финансовую отчетность (финансовую отчетность) Общества, промежуточную консолидированную финансовую отчетность (финансовую отчетность) Общества за отчетный период, состоящий из 3, 6, 9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содержащаяся в годовых отчетах Общества, за исключением информации, которая ранее уже была раскрыта.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составляющая промежуточную бухгалтерскую (финансовую) отчетность Общества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Общества, вместе с аудиторским заключением о ней, если в отношении нее проведен аудит.</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содержащаяся в проспекте ценных бумаг Общества, за исключением информации, которая ранее уже была раскрыта.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составляющая условия размещения ценных бумаг, определенные Обществом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заключении Обществом договора о стратегическом партнерстве или иного договора (сделки), за исключением договоров (сделок), предусмотренных пунктами 21, 22 и 27 настоящего </w:t>
      </w:r>
      <w:r w:rsidR="00EE7F5A">
        <w:rPr>
          <w:rFonts w:eastAsiaTheme="minorEastAsia"/>
          <w:sz w:val="26"/>
          <w:szCs w:val="26"/>
        </w:rPr>
        <w:t>Перечня</w:t>
      </w:r>
      <w:r w:rsidRPr="00066EBC">
        <w:rPr>
          <w:rFonts w:eastAsiaTheme="minorEastAsia"/>
          <w:sz w:val="26"/>
          <w:szCs w:val="26"/>
        </w:rPr>
        <w:t>, если заключение такого договора (сделки) может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Обществу, контролирующей его организации, подконтрольной Обществу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Общества лицу, не являющемуся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 </w:t>
      </w:r>
      <w:r w:rsidRPr="00066EBC">
        <w:rPr>
          <w:rFonts w:eastAsiaTheme="minorEastAsia"/>
          <w:sz w:val="26"/>
          <w:szCs w:val="26"/>
        </w:rPr>
        <w:lastRenderedPageBreak/>
        <w:t>Общества,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об обстоятельствах, предусмотренных </w:t>
      </w:r>
      <w:hyperlink r:id="rId17" w:history="1">
        <w:r w:rsidRPr="00066EBC">
          <w:rPr>
            <w:rFonts w:eastAsiaTheme="minorEastAsia"/>
            <w:sz w:val="26"/>
            <w:szCs w:val="26"/>
          </w:rPr>
          <w:t>абзацем вторым подпункта 23 пункта 1 статьи 2</w:t>
        </w:r>
      </w:hyperlink>
      <w:r w:rsidRPr="00066EBC">
        <w:rPr>
          <w:rFonts w:eastAsiaTheme="minorEastAsia"/>
          <w:sz w:val="26"/>
          <w:szCs w:val="26"/>
        </w:rPr>
        <w:t xml:space="preserve"> Федерального закона «О рынке ценных бумаг», в зависимости от наступления или </w:t>
      </w:r>
      <w:proofErr w:type="spellStart"/>
      <w:r w:rsidRPr="00066EBC">
        <w:rPr>
          <w:rFonts w:eastAsiaTheme="minorEastAsia"/>
          <w:sz w:val="26"/>
          <w:szCs w:val="26"/>
        </w:rPr>
        <w:t>ненаступления</w:t>
      </w:r>
      <w:proofErr w:type="spellEnd"/>
      <w:r w:rsidRPr="00066EBC">
        <w:rPr>
          <w:rFonts w:eastAsiaTheme="minorEastAsia"/>
          <w:sz w:val="26"/>
          <w:szCs w:val="26"/>
        </w:rPr>
        <w:t xml:space="preserve"> которых осуществляются либо не осуществляются выплаты по структурным облигациям Общества,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 обстоятельства), с указанием числовых значений (параметров,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Общества до начала размещения структурных облигаций в соответствии с </w:t>
      </w:r>
      <w:hyperlink r:id="rId18" w:history="1">
        <w:r w:rsidRPr="00066EBC">
          <w:rPr>
            <w:rFonts w:eastAsiaTheme="minorEastAsia"/>
            <w:sz w:val="26"/>
            <w:szCs w:val="26"/>
          </w:rPr>
          <w:t>подпунктами 1</w:t>
        </w:r>
      </w:hyperlink>
      <w:r w:rsidRPr="00066EBC">
        <w:rPr>
          <w:rFonts w:eastAsiaTheme="minorEastAsia"/>
          <w:sz w:val="26"/>
          <w:szCs w:val="26"/>
        </w:rPr>
        <w:t xml:space="preserve"> и </w:t>
      </w:r>
      <w:hyperlink r:id="rId19" w:history="1">
        <w:r w:rsidRPr="00066EBC">
          <w:rPr>
            <w:rFonts w:eastAsiaTheme="minorEastAsia"/>
            <w:sz w:val="26"/>
            <w:szCs w:val="26"/>
          </w:rPr>
          <w:t>2 пункта 3 статьи 27.1-1</w:t>
        </w:r>
      </w:hyperlink>
      <w:r w:rsidRPr="00066EBC">
        <w:rPr>
          <w:rFonts w:eastAsiaTheme="minorEastAsia"/>
          <w:sz w:val="26"/>
          <w:szCs w:val="26"/>
        </w:rPr>
        <w:t xml:space="preserve"> Федерального закона «О рынке ценных бумаг», за исключением информации, которая ранее уже была раскрыта (в случае если такая информация не содержится в решении о выпуске структурных облигаций).</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о возбуждении уголовного дела (поступившая Обществу от органов предварительного следствия или органов дознания) в отношении лица, входящего в состав органов управления Общества, организации, контролирующей Общество, подконтрольной Обществу организации, имеющей для него существенное значение, либо лица, предоставившего обеспечение по облигациям Общества, допущенным к организованным торгам (в отношении которых подана заявка о допуске к организованным торгам).</w:t>
      </w:r>
    </w:p>
    <w:p w:rsidR="007B2EDD" w:rsidRPr="00066EBC" w:rsidRDefault="00DF54AF" w:rsidP="007B2EDD">
      <w:pPr>
        <w:pStyle w:val="aa"/>
        <w:numPr>
          <w:ilvl w:val="0"/>
          <w:numId w:val="7"/>
        </w:numPr>
        <w:adjustRightInd/>
        <w:ind w:left="0" w:firstLine="709"/>
        <w:jc w:val="both"/>
        <w:rPr>
          <w:rFonts w:eastAsiaTheme="minorEastAsia"/>
          <w:sz w:val="26"/>
          <w:szCs w:val="26"/>
        </w:rPr>
      </w:pPr>
      <w:r w:rsidRPr="00066EBC">
        <w:rPr>
          <w:rFonts w:eastAsiaTheme="minorEastAsia"/>
          <w:sz w:val="26"/>
          <w:szCs w:val="26"/>
        </w:rPr>
        <w:t>Информация, содержащаяся в материалах, на основании которых органами управления Общества, за исключением общего собрания акционеров, принимаются решения, которые могут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 за исключением информации, которая ранее уже была раскрыта.</w:t>
      </w:r>
    </w:p>
    <w:p w:rsidR="007B2EDD" w:rsidRPr="008A1358" w:rsidRDefault="00DF54AF" w:rsidP="00927F91">
      <w:pPr>
        <w:pStyle w:val="aa"/>
        <w:numPr>
          <w:ilvl w:val="0"/>
          <w:numId w:val="7"/>
        </w:numPr>
        <w:adjustRightInd/>
        <w:ind w:left="0" w:firstLine="709"/>
        <w:jc w:val="both"/>
        <w:rPr>
          <w:sz w:val="26"/>
          <w:szCs w:val="26"/>
        </w:rPr>
      </w:pPr>
      <w:r w:rsidRPr="008A1358">
        <w:rPr>
          <w:rFonts w:eastAsiaTheme="minorEastAsia"/>
          <w:sz w:val="26"/>
          <w:szCs w:val="26"/>
        </w:rPr>
        <w:t>Информация об иных событиях (действиях), оказывающих, по мнению Общества, существенное влияние на стоимость или котировки его ценных бумаг.</w:t>
      </w:r>
      <w:bookmarkStart w:id="5" w:name="P297"/>
      <w:bookmarkEnd w:id="5"/>
    </w:p>
    <w:p w:rsidR="0068741E" w:rsidRPr="00066EBC" w:rsidRDefault="0068741E" w:rsidP="007B2EDD">
      <w:pPr>
        <w:ind w:left="5387"/>
        <w:rPr>
          <w:sz w:val="26"/>
          <w:szCs w:val="26"/>
        </w:rPr>
      </w:pPr>
    </w:p>
    <w:sectPr w:rsidR="0068741E" w:rsidRPr="00066EBC" w:rsidSect="00A0479C">
      <w:headerReference w:type="default" r:id="rId20"/>
      <w:footerReference w:type="default" r:id="rId21"/>
      <w:footerReference w:type="first" r:id="rId22"/>
      <w:type w:val="continuous"/>
      <w:pgSz w:w="11909" w:h="16834"/>
      <w:pgMar w:top="851" w:right="567" w:bottom="709" w:left="1134" w:header="0" w:footer="0" w:gutter="0"/>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4AF" w:rsidRDefault="00DF54AF">
      <w:r>
        <w:separator/>
      </w:r>
    </w:p>
  </w:endnote>
  <w:endnote w:type="continuationSeparator" w:id="0">
    <w:p w:rsidR="00DF54AF" w:rsidRDefault="00DF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D2" w:rsidRPr="007E4A1C" w:rsidRDefault="00B629D2">
    <w:pPr>
      <w:pStyle w:val="a6"/>
      <w:jc w:val="right"/>
      <w:rPr>
        <w:sz w:val="2"/>
      </w:rPr>
    </w:pPr>
  </w:p>
  <w:p w:rsidR="00B629D2" w:rsidRPr="007E4A1C" w:rsidRDefault="00B629D2" w:rsidP="00610B4F">
    <w:pPr>
      <w:pStyle w:val="a6"/>
      <w:jc w:val="right"/>
      <w:rPr>
        <w:sz w:val="2"/>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D2" w:rsidRPr="0092222D" w:rsidRDefault="00B629D2" w:rsidP="00610B4F">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4AF" w:rsidRDefault="00DF54AF" w:rsidP="00540C0D">
      <w:r>
        <w:separator/>
      </w:r>
    </w:p>
  </w:footnote>
  <w:footnote w:type="continuationSeparator" w:id="0">
    <w:p w:rsidR="00DF54AF" w:rsidRDefault="00DF54AF" w:rsidP="00540C0D">
      <w:r>
        <w:continuationSeparator/>
      </w:r>
    </w:p>
  </w:footnote>
  <w:footnote w:id="1">
    <w:p w:rsidR="006676C7" w:rsidRPr="00EE559E" w:rsidRDefault="00DF54AF" w:rsidP="006676C7">
      <w:pPr>
        <w:pStyle w:val="ac"/>
        <w:ind w:firstLine="284"/>
        <w:rPr>
          <w:sz w:val="18"/>
          <w:szCs w:val="18"/>
        </w:rPr>
      </w:pPr>
      <w:r w:rsidRPr="00EE559E">
        <w:rPr>
          <w:rStyle w:val="a9"/>
          <w:sz w:val="18"/>
          <w:szCs w:val="18"/>
        </w:rPr>
        <w:footnoteRef/>
      </w:r>
      <w:r w:rsidRPr="00EE559E">
        <w:rPr>
          <w:sz w:val="18"/>
          <w:szCs w:val="18"/>
        </w:rPr>
        <w:t xml:space="preserve"> Решение Совета директоров Общества об определении приоритетных направлений деятельности Общества не подлежит раскрытию Обществом в случаях, когда такое решение содержит конфиденциальную информацию.</w:t>
      </w:r>
    </w:p>
  </w:footnote>
  <w:footnote w:id="2">
    <w:p w:rsidR="006676C7" w:rsidRDefault="00DF54AF" w:rsidP="006676C7">
      <w:pPr>
        <w:pStyle w:val="ac"/>
        <w:ind w:firstLine="284"/>
      </w:pPr>
      <w:r>
        <w:rPr>
          <w:rStyle w:val="a9"/>
        </w:rPr>
        <w:footnoteRef/>
      </w:r>
      <w:r>
        <w:t xml:space="preserve"> </w:t>
      </w:r>
      <w:r>
        <w:rPr>
          <w:sz w:val="18"/>
          <w:szCs w:val="18"/>
        </w:rPr>
        <w:t>Решение Совета директоров Общества об определении позиции Общества (представителей Общества) по вопросам повесток дня Общих собраний акционеров и заседаний Советов директоров подконтрольных Обществу юридических лиц, имеющих для Общества существенное значение, не подлежит раскрытию Обществом в случаях, когда такое решение содержит конфиденциальную информацию.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6C" w:rsidRDefault="00826A6C" w:rsidP="007E4A1C">
    <w:pPr>
      <w:pStyle w:val="a4"/>
      <w:jc w:val="center"/>
    </w:pPr>
  </w:p>
  <w:p w:rsidR="00826A6C" w:rsidRDefault="00826A6C" w:rsidP="007E4A1C">
    <w:pPr>
      <w:pStyle w:val="a4"/>
      <w:jc w:val="center"/>
    </w:pPr>
  </w:p>
  <w:p w:rsidR="00B629D2" w:rsidRPr="005018F6" w:rsidRDefault="00DF54AF" w:rsidP="007E4A1C">
    <w:pPr>
      <w:pStyle w:val="a4"/>
      <w:jc w:val="center"/>
    </w:pPr>
    <w:r>
      <w:fldChar w:fldCharType="begin"/>
    </w:r>
    <w:r>
      <w:instrText>PAGE   \* MERGEFORMAT</w:instrText>
    </w:r>
    <w:r>
      <w:fldChar w:fldCharType="separate"/>
    </w:r>
    <w:r w:rsidR="006B01F6">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1987506"/>
    <w:lvl w:ilvl="0">
      <w:numFmt w:val="bullet"/>
      <w:lvlText w:val="*"/>
      <w:lvlJc w:val="left"/>
    </w:lvl>
  </w:abstractNum>
  <w:abstractNum w:abstractNumId="1" w15:restartNumberingAfterBreak="0">
    <w:nsid w:val="21C7046A"/>
    <w:multiLevelType w:val="hybridMultilevel"/>
    <w:tmpl w:val="1EB69A2E"/>
    <w:lvl w:ilvl="0" w:tplc="FCE43A2C">
      <w:start w:val="1"/>
      <w:numFmt w:val="bullet"/>
      <w:lvlText w:val=""/>
      <w:lvlJc w:val="left"/>
      <w:pPr>
        <w:ind w:left="720" w:hanging="360"/>
      </w:pPr>
      <w:rPr>
        <w:rFonts w:ascii="Symbol" w:hAnsi="Symbol" w:hint="default"/>
      </w:rPr>
    </w:lvl>
    <w:lvl w:ilvl="1" w:tplc="2454136C" w:tentative="1">
      <w:start w:val="1"/>
      <w:numFmt w:val="bullet"/>
      <w:lvlText w:val="o"/>
      <w:lvlJc w:val="left"/>
      <w:pPr>
        <w:ind w:left="1440" w:hanging="360"/>
      </w:pPr>
      <w:rPr>
        <w:rFonts w:ascii="Courier New" w:hAnsi="Courier New" w:cs="Courier New" w:hint="default"/>
      </w:rPr>
    </w:lvl>
    <w:lvl w:ilvl="2" w:tplc="9170219C" w:tentative="1">
      <w:start w:val="1"/>
      <w:numFmt w:val="bullet"/>
      <w:lvlText w:val=""/>
      <w:lvlJc w:val="left"/>
      <w:pPr>
        <w:ind w:left="2160" w:hanging="360"/>
      </w:pPr>
      <w:rPr>
        <w:rFonts w:ascii="Wingdings" w:hAnsi="Wingdings" w:hint="default"/>
      </w:rPr>
    </w:lvl>
    <w:lvl w:ilvl="3" w:tplc="A98CD076" w:tentative="1">
      <w:start w:val="1"/>
      <w:numFmt w:val="bullet"/>
      <w:lvlText w:val=""/>
      <w:lvlJc w:val="left"/>
      <w:pPr>
        <w:ind w:left="2880" w:hanging="360"/>
      </w:pPr>
      <w:rPr>
        <w:rFonts w:ascii="Symbol" w:hAnsi="Symbol" w:hint="default"/>
      </w:rPr>
    </w:lvl>
    <w:lvl w:ilvl="4" w:tplc="E40AD564" w:tentative="1">
      <w:start w:val="1"/>
      <w:numFmt w:val="bullet"/>
      <w:lvlText w:val="o"/>
      <w:lvlJc w:val="left"/>
      <w:pPr>
        <w:ind w:left="3600" w:hanging="360"/>
      </w:pPr>
      <w:rPr>
        <w:rFonts w:ascii="Courier New" w:hAnsi="Courier New" w:cs="Courier New" w:hint="default"/>
      </w:rPr>
    </w:lvl>
    <w:lvl w:ilvl="5" w:tplc="14BAA97E" w:tentative="1">
      <w:start w:val="1"/>
      <w:numFmt w:val="bullet"/>
      <w:lvlText w:val=""/>
      <w:lvlJc w:val="left"/>
      <w:pPr>
        <w:ind w:left="4320" w:hanging="360"/>
      </w:pPr>
      <w:rPr>
        <w:rFonts w:ascii="Wingdings" w:hAnsi="Wingdings" w:hint="default"/>
      </w:rPr>
    </w:lvl>
    <w:lvl w:ilvl="6" w:tplc="F73654CA" w:tentative="1">
      <w:start w:val="1"/>
      <w:numFmt w:val="bullet"/>
      <w:lvlText w:val=""/>
      <w:lvlJc w:val="left"/>
      <w:pPr>
        <w:ind w:left="5040" w:hanging="360"/>
      </w:pPr>
      <w:rPr>
        <w:rFonts w:ascii="Symbol" w:hAnsi="Symbol" w:hint="default"/>
      </w:rPr>
    </w:lvl>
    <w:lvl w:ilvl="7" w:tplc="6284D11A" w:tentative="1">
      <w:start w:val="1"/>
      <w:numFmt w:val="bullet"/>
      <w:lvlText w:val="o"/>
      <w:lvlJc w:val="left"/>
      <w:pPr>
        <w:ind w:left="5760" w:hanging="360"/>
      </w:pPr>
      <w:rPr>
        <w:rFonts w:ascii="Courier New" w:hAnsi="Courier New" w:cs="Courier New" w:hint="default"/>
      </w:rPr>
    </w:lvl>
    <w:lvl w:ilvl="8" w:tplc="5DEC8AD2" w:tentative="1">
      <w:start w:val="1"/>
      <w:numFmt w:val="bullet"/>
      <w:lvlText w:val=""/>
      <w:lvlJc w:val="left"/>
      <w:pPr>
        <w:ind w:left="6480" w:hanging="360"/>
      </w:pPr>
      <w:rPr>
        <w:rFonts w:ascii="Wingdings" w:hAnsi="Wingdings" w:hint="default"/>
      </w:rPr>
    </w:lvl>
  </w:abstractNum>
  <w:abstractNum w:abstractNumId="2" w15:restartNumberingAfterBreak="0">
    <w:nsid w:val="2FDA0053"/>
    <w:multiLevelType w:val="hybridMultilevel"/>
    <w:tmpl w:val="A1188FCC"/>
    <w:lvl w:ilvl="0" w:tplc="3F6A521E">
      <w:start w:val="1"/>
      <w:numFmt w:val="decimal"/>
      <w:lvlText w:val="%1."/>
      <w:lvlJc w:val="left"/>
      <w:pPr>
        <w:tabs>
          <w:tab w:val="num" w:pos="720"/>
        </w:tabs>
        <w:ind w:left="720" w:hanging="360"/>
      </w:pPr>
      <w:rPr>
        <w:rFonts w:hint="default"/>
      </w:rPr>
    </w:lvl>
    <w:lvl w:ilvl="1" w:tplc="D98A0AA4" w:tentative="1">
      <w:start w:val="1"/>
      <w:numFmt w:val="lowerLetter"/>
      <w:lvlText w:val="%2."/>
      <w:lvlJc w:val="left"/>
      <w:pPr>
        <w:tabs>
          <w:tab w:val="num" w:pos="1440"/>
        </w:tabs>
        <w:ind w:left="1440" w:hanging="360"/>
      </w:pPr>
    </w:lvl>
    <w:lvl w:ilvl="2" w:tplc="A30CB5DC" w:tentative="1">
      <w:start w:val="1"/>
      <w:numFmt w:val="lowerRoman"/>
      <w:lvlText w:val="%3."/>
      <w:lvlJc w:val="right"/>
      <w:pPr>
        <w:tabs>
          <w:tab w:val="num" w:pos="2160"/>
        </w:tabs>
        <w:ind w:left="2160" w:hanging="180"/>
      </w:pPr>
    </w:lvl>
    <w:lvl w:ilvl="3" w:tplc="7054E0C6" w:tentative="1">
      <w:start w:val="1"/>
      <w:numFmt w:val="decimal"/>
      <w:lvlText w:val="%4."/>
      <w:lvlJc w:val="left"/>
      <w:pPr>
        <w:tabs>
          <w:tab w:val="num" w:pos="2880"/>
        </w:tabs>
        <w:ind w:left="2880" w:hanging="360"/>
      </w:pPr>
    </w:lvl>
    <w:lvl w:ilvl="4" w:tplc="9B1E3B88" w:tentative="1">
      <w:start w:val="1"/>
      <w:numFmt w:val="lowerLetter"/>
      <w:lvlText w:val="%5."/>
      <w:lvlJc w:val="left"/>
      <w:pPr>
        <w:tabs>
          <w:tab w:val="num" w:pos="3600"/>
        </w:tabs>
        <w:ind w:left="3600" w:hanging="360"/>
      </w:pPr>
    </w:lvl>
    <w:lvl w:ilvl="5" w:tplc="208AB64A" w:tentative="1">
      <w:start w:val="1"/>
      <w:numFmt w:val="lowerRoman"/>
      <w:lvlText w:val="%6."/>
      <w:lvlJc w:val="right"/>
      <w:pPr>
        <w:tabs>
          <w:tab w:val="num" w:pos="4320"/>
        </w:tabs>
        <w:ind w:left="4320" w:hanging="180"/>
      </w:pPr>
    </w:lvl>
    <w:lvl w:ilvl="6" w:tplc="BF0480D6" w:tentative="1">
      <w:start w:val="1"/>
      <w:numFmt w:val="decimal"/>
      <w:lvlText w:val="%7."/>
      <w:lvlJc w:val="left"/>
      <w:pPr>
        <w:tabs>
          <w:tab w:val="num" w:pos="5040"/>
        </w:tabs>
        <w:ind w:left="5040" w:hanging="360"/>
      </w:pPr>
    </w:lvl>
    <w:lvl w:ilvl="7" w:tplc="34DEB9D2" w:tentative="1">
      <w:start w:val="1"/>
      <w:numFmt w:val="lowerLetter"/>
      <w:lvlText w:val="%8."/>
      <w:lvlJc w:val="left"/>
      <w:pPr>
        <w:tabs>
          <w:tab w:val="num" w:pos="5760"/>
        </w:tabs>
        <w:ind w:left="5760" w:hanging="360"/>
      </w:pPr>
    </w:lvl>
    <w:lvl w:ilvl="8" w:tplc="50AC3130" w:tentative="1">
      <w:start w:val="1"/>
      <w:numFmt w:val="lowerRoman"/>
      <w:lvlText w:val="%9."/>
      <w:lvlJc w:val="right"/>
      <w:pPr>
        <w:tabs>
          <w:tab w:val="num" w:pos="6480"/>
        </w:tabs>
        <w:ind w:left="6480" w:hanging="180"/>
      </w:pPr>
    </w:lvl>
  </w:abstractNum>
  <w:abstractNum w:abstractNumId="3" w15:restartNumberingAfterBreak="0">
    <w:nsid w:val="36493A90"/>
    <w:multiLevelType w:val="hybridMultilevel"/>
    <w:tmpl w:val="CF80FBCC"/>
    <w:lvl w:ilvl="0" w:tplc="03566F58">
      <w:start w:val="1"/>
      <w:numFmt w:val="decimal"/>
      <w:lvlText w:val="%1."/>
      <w:lvlJc w:val="left"/>
      <w:pPr>
        <w:ind w:left="720" w:hanging="360"/>
      </w:pPr>
    </w:lvl>
    <w:lvl w:ilvl="1" w:tplc="DCC27860" w:tentative="1">
      <w:start w:val="1"/>
      <w:numFmt w:val="lowerLetter"/>
      <w:lvlText w:val="%2."/>
      <w:lvlJc w:val="left"/>
      <w:pPr>
        <w:ind w:left="1440" w:hanging="360"/>
      </w:pPr>
    </w:lvl>
    <w:lvl w:ilvl="2" w:tplc="7A50B714" w:tentative="1">
      <w:start w:val="1"/>
      <w:numFmt w:val="lowerRoman"/>
      <w:lvlText w:val="%3."/>
      <w:lvlJc w:val="right"/>
      <w:pPr>
        <w:ind w:left="2160" w:hanging="180"/>
      </w:pPr>
    </w:lvl>
    <w:lvl w:ilvl="3" w:tplc="28F4A648" w:tentative="1">
      <w:start w:val="1"/>
      <w:numFmt w:val="decimal"/>
      <w:lvlText w:val="%4."/>
      <w:lvlJc w:val="left"/>
      <w:pPr>
        <w:ind w:left="2880" w:hanging="360"/>
      </w:pPr>
    </w:lvl>
    <w:lvl w:ilvl="4" w:tplc="8092E9DE" w:tentative="1">
      <w:start w:val="1"/>
      <w:numFmt w:val="lowerLetter"/>
      <w:lvlText w:val="%5."/>
      <w:lvlJc w:val="left"/>
      <w:pPr>
        <w:ind w:left="3600" w:hanging="360"/>
      </w:pPr>
    </w:lvl>
    <w:lvl w:ilvl="5" w:tplc="AD0E747E" w:tentative="1">
      <w:start w:val="1"/>
      <w:numFmt w:val="lowerRoman"/>
      <w:lvlText w:val="%6."/>
      <w:lvlJc w:val="right"/>
      <w:pPr>
        <w:ind w:left="4320" w:hanging="180"/>
      </w:pPr>
    </w:lvl>
    <w:lvl w:ilvl="6" w:tplc="8DE86AB6" w:tentative="1">
      <w:start w:val="1"/>
      <w:numFmt w:val="decimal"/>
      <w:lvlText w:val="%7."/>
      <w:lvlJc w:val="left"/>
      <w:pPr>
        <w:ind w:left="5040" w:hanging="360"/>
      </w:pPr>
    </w:lvl>
    <w:lvl w:ilvl="7" w:tplc="3B0204BE" w:tentative="1">
      <w:start w:val="1"/>
      <w:numFmt w:val="lowerLetter"/>
      <w:lvlText w:val="%8."/>
      <w:lvlJc w:val="left"/>
      <w:pPr>
        <w:ind w:left="5760" w:hanging="360"/>
      </w:pPr>
    </w:lvl>
    <w:lvl w:ilvl="8" w:tplc="3D6CBF2A" w:tentative="1">
      <w:start w:val="1"/>
      <w:numFmt w:val="lowerRoman"/>
      <w:lvlText w:val="%9."/>
      <w:lvlJc w:val="right"/>
      <w:pPr>
        <w:ind w:left="6480" w:hanging="180"/>
      </w:pPr>
    </w:lvl>
  </w:abstractNum>
  <w:abstractNum w:abstractNumId="4" w15:restartNumberingAfterBreak="0">
    <w:nsid w:val="41190C7E"/>
    <w:multiLevelType w:val="singleLevel"/>
    <w:tmpl w:val="908E33BA"/>
    <w:lvl w:ilvl="0">
      <w:start w:val="1"/>
      <w:numFmt w:val="decimal"/>
      <w:lvlText w:val="%1."/>
      <w:legacy w:legacy="1" w:legacySpace="0" w:legacyIndent="389"/>
      <w:lvlJc w:val="left"/>
      <w:rPr>
        <w:rFonts w:ascii="Times New Roman" w:hAnsi="Times New Roman" w:cs="Times New Roman" w:hint="default"/>
      </w:rPr>
    </w:lvl>
  </w:abstractNum>
  <w:abstractNum w:abstractNumId="5" w15:restartNumberingAfterBreak="0">
    <w:nsid w:val="524E353F"/>
    <w:multiLevelType w:val="hybridMultilevel"/>
    <w:tmpl w:val="5DBC85E0"/>
    <w:lvl w:ilvl="0" w:tplc="5CEEB0CA">
      <w:start w:val="1"/>
      <w:numFmt w:val="decimal"/>
      <w:lvlText w:val="%1."/>
      <w:lvlJc w:val="left"/>
      <w:pPr>
        <w:ind w:left="720" w:hanging="360"/>
      </w:pPr>
      <w:rPr>
        <w:rFonts w:ascii="Times New Roman" w:eastAsia="Times New Roman" w:hAnsi="Times New Roman" w:cs="Times New Roman"/>
      </w:rPr>
    </w:lvl>
    <w:lvl w:ilvl="1" w:tplc="A5E82EDE" w:tentative="1">
      <w:start w:val="1"/>
      <w:numFmt w:val="lowerLetter"/>
      <w:lvlText w:val="%2."/>
      <w:lvlJc w:val="left"/>
      <w:pPr>
        <w:ind w:left="1440" w:hanging="360"/>
      </w:pPr>
    </w:lvl>
    <w:lvl w:ilvl="2" w:tplc="5EEA9770" w:tentative="1">
      <w:start w:val="1"/>
      <w:numFmt w:val="lowerRoman"/>
      <w:lvlText w:val="%3."/>
      <w:lvlJc w:val="right"/>
      <w:pPr>
        <w:ind w:left="2160" w:hanging="180"/>
      </w:pPr>
    </w:lvl>
    <w:lvl w:ilvl="3" w:tplc="26D62DC8" w:tentative="1">
      <w:start w:val="1"/>
      <w:numFmt w:val="decimal"/>
      <w:lvlText w:val="%4."/>
      <w:lvlJc w:val="left"/>
      <w:pPr>
        <w:ind w:left="2880" w:hanging="360"/>
      </w:pPr>
    </w:lvl>
    <w:lvl w:ilvl="4" w:tplc="9F6C88AC" w:tentative="1">
      <w:start w:val="1"/>
      <w:numFmt w:val="lowerLetter"/>
      <w:lvlText w:val="%5."/>
      <w:lvlJc w:val="left"/>
      <w:pPr>
        <w:ind w:left="3600" w:hanging="360"/>
      </w:pPr>
    </w:lvl>
    <w:lvl w:ilvl="5" w:tplc="BD42FC36" w:tentative="1">
      <w:start w:val="1"/>
      <w:numFmt w:val="lowerRoman"/>
      <w:lvlText w:val="%6."/>
      <w:lvlJc w:val="right"/>
      <w:pPr>
        <w:ind w:left="4320" w:hanging="180"/>
      </w:pPr>
    </w:lvl>
    <w:lvl w:ilvl="6" w:tplc="625489FA" w:tentative="1">
      <w:start w:val="1"/>
      <w:numFmt w:val="decimal"/>
      <w:lvlText w:val="%7."/>
      <w:lvlJc w:val="left"/>
      <w:pPr>
        <w:ind w:left="5040" w:hanging="360"/>
      </w:pPr>
    </w:lvl>
    <w:lvl w:ilvl="7" w:tplc="D6B0B342" w:tentative="1">
      <w:start w:val="1"/>
      <w:numFmt w:val="lowerLetter"/>
      <w:lvlText w:val="%8."/>
      <w:lvlJc w:val="left"/>
      <w:pPr>
        <w:ind w:left="5760" w:hanging="360"/>
      </w:pPr>
    </w:lvl>
    <w:lvl w:ilvl="8" w:tplc="6A968180" w:tentative="1">
      <w:start w:val="1"/>
      <w:numFmt w:val="lowerRoman"/>
      <w:lvlText w:val="%9."/>
      <w:lvlJc w:val="right"/>
      <w:pPr>
        <w:ind w:left="6480" w:hanging="180"/>
      </w:pPr>
    </w:lvl>
  </w:abstractNum>
  <w:abstractNum w:abstractNumId="6" w15:restartNumberingAfterBreak="0">
    <w:nsid w:val="55381C71"/>
    <w:multiLevelType w:val="hybridMultilevel"/>
    <w:tmpl w:val="96D284EC"/>
    <w:lvl w:ilvl="0" w:tplc="245063EE">
      <w:start w:val="1"/>
      <w:numFmt w:val="bullet"/>
      <w:lvlText w:val=""/>
      <w:lvlJc w:val="left"/>
      <w:pPr>
        <w:ind w:left="1080" w:hanging="360"/>
      </w:pPr>
      <w:rPr>
        <w:rFonts w:ascii="Symbol" w:hAnsi="Symbol" w:hint="default"/>
      </w:rPr>
    </w:lvl>
    <w:lvl w:ilvl="1" w:tplc="1A322FCA" w:tentative="1">
      <w:start w:val="1"/>
      <w:numFmt w:val="bullet"/>
      <w:lvlText w:val="o"/>
      <w:lvlJc w:val="left"/>
      <w:pPr>
        <w:ind w:left="1800" w:hanging="360"/>
      </w:pPr>
      <w:rPr>
        <w:rFonts w:ascii="Courier New" w:hAnsi="Courier New" w:cs="Courier New" w:hint="default"/>
      </w:rPr>
    </w:lvl>
    <w:lvl w:ilvl="2" w:tplc="BF280364" w:tentative="1">
      <w:start w:val="1"/>
      <w:numFmt w:val="bullet"/>
      <w:lvlText w:val=""/>
      <w:lvlJc w:val="left"/>
      <w:pPr>
        <w:ind w:left="2520" w:hanging="360"/>
      </w:pPr>
      <w:rPr>
        <w:rFonts w:ascii="Wingdings" w:hAnsi="Wingdings" w:hint="default"/>
      </w:rPr>
    </w:lvl>
    <w:lvl w:ilvl="3" w:tplc="5BAEB25C" w:tentative="1">
      <w:start w:val="1"/>
      <w:numFmt w:val="bullet"/>
      <w:lvlText w:val=""/>
      <w:lvlJc w:val="left"/>
      <w:pPr>
        <w:ind w:left="3240" w:hanging="360"/>
      </w:pPr>
      <w:rPr>
        <w:rFonts w:ascii="Symbol" w:hAnsi="Symbol" w:hint="default"/>
      </w:rPr>
    </w:lvl>
    <w:lvl w:ilvl="4" w:tplc="15DAC11A" w:tentative="1">
      <w:start w:val="1"/>
      <w:numFmt w:val="bullet"/>
      <w:lvlText w:val="o"/>
      <w:lvlJc w:val="left"/>
      <w:pPr>
        <w:ind w:left="3960" w:hanging="360"/>
      </w:pPr>
      <w:rPr>
        <w:rFonts w:ascii="Courier New" w:hAnsi="Courier New" w:cs="Courier New" w:hint="default"/>
      </w:rPr>
    </w:lvl>
    <w:lvl w:ilvl="5" w:tplc="B8F420FE" w:tentative="1">
      <w:start w:val="1"/>
      <w:numFmt w:val="bullet"/>
      <w:lvlText w:val=""/>
      <w:lvlJc w:val="left"/>
      <w:pPr>
        <w:ind w:left="4680" w:hanging="360"/>
      </w:pPr>
      <w:rPr>
        <w:rFonts w:ascii="Wingdings" w:hAnsi="Wingdings" w:hint="default"/>
      </w:rPr>
    </w:lvl>
    <w:lvl w:ilvl="6" w:tplc="3AAA08A6" w:tentative="1">
      <w:start w:val="1"/>
      <w:numFmt w:val="bullet"/>
      <w:lvlText w:val=""/>
      <w:lvlJc w:val="left"/>
      <w:pPr>
        <w:ind w:left="5400" w:hanging="360"/>
      </w:pPr>
      <w:rPr>
        <w:rFonts w:ascii="Symbol" w:hAnsi="Symbol" w:hint="default"/>
      </w:rPr>
    </w:lvl>
    <w:lvl w:ilvl="7" w:tplc="4210C3BC" w:tentative="1">
      <w:start w:val="1"/>
      <w:numFmt w:val="bullet"/>
      <w:lvlText w:val="o"/>
      <w:lvlJc w:val="left"/>
      <w:pPr>
        <w:ind w:left="6120" w:hanging="360"/>
      </w:pPr>
      <w:rPr>
        <w:rFonts w:ascii="Courier New" w:hAnsi="Courier New" w:cs="Courier New" w:hint="default"/>
      </w:rPr>
    </w:lvl>
    <w:lvl w:ilvl="8" w:tplc="79A88E32" w:tentative="1">
      <w:start w:val="1"/>
      <w:numFmt w:val="bullet"/>
      <w:lvlText w:val=""/>
      <w:lvlJc w:val="left"/>
      <w:pPr>
        <w:ind w:left="6840" w:hanging="360"/>
      </w:pPr>
      <w:rPr>
        <w:rFonts w:ascii="Wingdings" w:hAnsi="Wingdings" w:hint="default"/>
      </w:rPr>
    </w:lvl>
  </w:abstractNum>
  <w:abstractNum w:abstractNumId="7" w15:restartNumberingAfterBreak="0">
    <w:nsid w:val="5C8B17D3"/>
    <w:multiLevelType w:val="hybridMultilevel"/>
    <w:tmpl w:val="88BAA9BA"/>
    <w:lvl w:ilvl="0" w:tplc="4F224DF8">
      <w:start w:val="1"/>
      <w:numFmt w:val="decimal"/>
      <w:lvlText w:val="%1."/>
      <w:lvlJc w:val="left"/>
      <w:pPr>
        <w:ind w:left="1081" w:hanging="372"/>
      </w:pPr>
      <w:rPr>
        <w:rFonts w:hint="default"/>
      </w:rPr>
    </w:lvl>
    <w:lvl w:ilvl="1" w:tplc="B0122628" w:tentative="1">
      <w:start w:val="1"/>
      <w:numFmt w:val="lowerLetter"/>
      <w:lvlText w:val="%2."/>
      <w:lvlJc w:val="left"/>
      <w:pPr>
        <w:ind w:left="1789" w:hanging="360"/>
      </w:pPr>
    </w:lvl>
    <w:lvl w:ilvl="2" w:tplc="1026DCFA" w:tentative="1">
      <w:start w:val="1"/>
      <w:numFmt w:val="lowerRoman"/>
      <w:lvlText w:val="%3."/>
      <w:lvlJc w:val="right"/>
      <w:pPr>
        <w:ind w:left="2509" w:hanging="180"/>
      </w:pPr>
    </w:lvl>
    <w:lvl w:ilvl="3" w:tplc="E06AE486" w:tentative="1">
      <w:start w:val="1"/>
      <w:numFmt w:val="decimal"/>
      <w:lvlText w:val="%4."/>
      <w:lvlJc w:val="left"/>
      <w:pPr>
        <w:ind w:left="3229" w:hanging="360"/>
      </w:pPr>
    </w:lvl>
    <w:lvl w:ilvl="4" w:tplc="90186328" w:tentative="1">
      <w:start w:val="1"/>
      <w:numFmt w:val="lowerLetter"/>
      <w:lvlText w:val="%5."/>
      <w:lvlJc w:val="left"/>
      <w:pPr>
        <w:ind w:left="3949" w:hanging="360"/>
      </w:pPr>
    </w:lvl>
    <w:lvl w:ilvl="5" w:tplc="64628AA6" w:tentative="1">
      <w:start w:val="1"/>
      <w:numFmt w:val="lowerRoman"/>
      <w:lvlText w:val="%6."/>
      <w:lvlJc w:val="right"/>
      <w:pPr>
        <w:ind w:left="4669" w:hanging="180"/>
      </w:pPr>
    </w:lvl>
    <w:lvl w:ilvl="6" w:tplc="74C6503E" w:tentative="1">
      <w:start w:val="1"/>
      <w:numFmt w:val="decimal"/>
      <w:lvlText w:val="%7."/>
      <w:lvlJc w:val="left"/>
      <w:pPr>
        <w:ind w:left="5389" w:hanging="360"/>
      </w:pPr>
    </w:lvl>
    <w:lvl w:ilvl="7" w:tplc="BB0405E0" w:tentative="1">
      <w:start w:val="1"/>
      <w:numFmt w:val="lowerLetter"/>
      <w:lvlText w:val="%8."/>
      <w:lvlJc w:val="left"/>
      <w:pPr>
        <w:ind w:left="6109" w:hanging="360"/>
      </w:pPr>
    </w:lvl>
    <w:lvl w:ilvl="8" w:tplc="DC3224D8" w:tentative="1">
      <w:start w:val="1"/>
      <w:numFmt w:val="lowerRoman"/>
      <w:lvlText w:val="%9."/>
      <w:lvlJc w:val="right"/>
      <w:pPr>
        <w:ind w:left="6829" w:hanging="180"/>
      </w:pPr>
    </w:lvl>
  </w:abstractNum>
  <w:num w:numId="1">
    <w:abstractNumId w:val="4"/>
  </w:num>
  <w:num w:numId="2">
    <w:abstractNumId w:val="0"/>
    <w:lvlOverride w:ilvl="0">
      <w:lvl w:ilvl="0">
        <w:numFmt w:val="bullet"/>
        <w:lvlText w:val="-"/>
        <w:legacy w:legacy="1" w:legacySpace="0" w:legacyIndent="180"/>
        <w:lvlJc w:val="left"/>
        <w:rPr>
          <w:rFonts w:ascii="Times New Roman" w:hAnsi="Times New Roman" w:cs="Times New Roman" w:hint="default"/>
        </w:rPr>
      </w:lvl>
    </w:lvlOverride>
  </w:num>
  <w:num w:numId="3">
    <w:abstractNumId w:val="2"/>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C0D"/>
    <w:rsid w:val="000213B8"/>
    <w:rsid w:val="00025EBE"/>
    <w:rsid w:val="00030728"/>
    <w:rsid w:val="00031CB7"/>
    <w:rsid w:val="0003346D"/>
    <w:rsid w:val="000411BB"/>
    <w:rsid w:val="00043613"/>
    <w:rsid w:val="00054F77"/>
    <w:rsid w:val="00062DEC"/>
    <w:rsid w:val="00066EBC"/>
    <w:rsid w:val="00066F58"/>
    <w:rsid w:val="00077142"/>
    <w:rsid w:val="000801C9"/>
    <w:rsid w:val="00090D48"/>
    <w:rsid w:val="000917E9"/>
    <w:rsid w:val="000A2F14"/>
    <w:rsid w:val="000A6755"/>
    <w:rsid w:val="000A6E33"/>
    <w:rsid w:val="000B1892"/>
    <w:rsid w:val="000B7F0E"/>
    <w:rsid w:val="000C17D0"/>
    <w:rsid w:val="000E21C3"/>
    <w:rsid w:val="000F0DCB"/>
    <w:rsid w:val="0010040E"/>
    <w:rsid w:val="00127ECA"/>
    <w:rsid w:val="001438C1"/>
    <w:rsid w:val="0015432B"/>
    <w:rsid w:val="001713D0"/>
    <w:rsid w:val="00176259"/>
    <w:rsid w:val="001808C6"/>
    <w:rsid w:val="001974DC"/>
    <w:rsid w:val="001A5DEC"/>
    <w:rsid w:val="001B2D34"/>
    <w:rsid w:val="001B6B08"/>
    <w:rsid w:val="001B76BD"/>
    <w:rsid w:val="001C00F6"/>
    <w:rsid w:val="001C4F39"/>
    <w:rsid w:val="001C5B2C"/>
    <w:rsid w:val="001D2694"/>
    <w:rsid w:val="001D29EE"/>
    <w:rsid w:val="001E3575"/>
    <w:rsid w:val="001E5E06"/>
    <w:rsid w:val="00216F4B"/>
    <w:rsid w:val="002226A6"/>
    <w:rsid w:val="00251569"/>
    <w:rsid w:val="00255017"/>
    <w:rsid w:val="00255B78"/>
    <w:rsid w:val="0026194D"/>
    <w:rsid w:val="00270EC5"/>
    <w:rsid w:val="00277F0C"/>
    <w:rsid w:val="00282136"/>
    <w:rsid w:val="002824CF"/>
    <w:rsid w:val="0029598C"/>
    <w:rsid w:val="00295CA0"/>
    <w:rsid w:val="002A7495"/>
    <w:rsid w:val="002A7DE0"/>
    <w:rsid w:val="002B04DD"/>
    <w:rsid w:val="002B4351"/>
    <w:rsid w:val="002C2899"/>
    <w:rsid w:val="002C4759"/>
    <w:rsid w:val="002D173F"/>
    <w:rsid w:val="002D3AEA"/>
    <w:rsid w:val="002E0C31"/>
    <w:rsid w:val="002F43F3"/>
    <w:rsid w:val="00301036"/>
    <w:rsid w:val="00321947"/>
    <w:rsid w:val="00334C25"/>
    <w:rsid w:val="0033640C"/>
    <w:rsid w:val="003365AE"/>
    <w:rsid w:val="00342AD6"/>
    <w:rsid w:val="0034333D"/>
    <w:rsid w:val="00344CFC"/>
    <w:rsid w:val="00351C31"/>
    <w:rsid w:val="00355028"/>
    <w:rsid w:val="003721D7"/>
    <w:rsid w:val="0039676F"/>
    <w:rsid w:val="00397BA6"/>
    <w:rsid w:val="003A640B"/>
    <w:rsid w:val="003B148E"/>
    <w:rsid w:val="003B6262"/>
    <w:rsid w:val="003C764E"/>
    <w:rsid w:val="003D177E"/>
    <w:rsid w:val="003D39F0"/>
    <w:rsid w:val="003D72D8"/>
    <w:rsid w:val="003E0C37"/>
    <w:rsid w:val="00402CB2"/>
    <w:rsid w:val="00404F82"/>
    <w:rsid w:val="00411076"/>
    <w:rsid w:val="004259FC"/>
    <w:rsid w:val="00432F7F"/>
    <w:rsid w:val="00435ED5"/>
    <w:rsid w:val="00461129"/>
    <w:rsid w:val="0047019F"/>
    <w:rsid w:val="004B2870"/>
    <w:rsid w:val="004C1FC8"/>
    <w:rsid w:val="004C3D63"/>
    <w:rsid w:val="004D1A55"/>
    <w:rsid w:val="004D73FE"/>
    <w:rsid w:val="004E3CE9"/>
    <w:rsid w:val="005018F6"/>
    <w:rsid w:val="005038D6"/>
    <w:rsid w:val="005128F7"/>
    <w:rsid w:val="00515EAE"/>
    <w:rsid w:val="00516CA5"/>
    <w:rsid w:val="00526F68"/>
    <w:rsid w:val="0053008A"/>
    <w:rsid w:val="00533FCB"/>
    <w:rsid w:val="005373B8"/>
    <w:rsid w:val="00540C0D"/>
    <w:rsid w:val="00551A13"/>
    <w:rsid w:val="005533DD"/>
    <w:rsid w:val="00566FC2"/>
    <w:rsid w:val="00586C47"/>
    <w:rsid w:val="00591815"/>
    <w:rsid w:val="00593970"/>
    <w:rsid w:val="00595A98"/>
    <w:rsid w:val="005B4138"/>
    <w:rsid w:val="005B70EF"/>
    <w:rsid w:val="005C32B5"/>
    <w:rsid w:val="005C7B7F"/>
    <w:rsid w:val="005E19E2"/>
    <w:rsid w:val="005E6D43"/>
    <w:rsid w:val="005E75BE"/>
    <w:rsid w:val="005F2F5C"/>
    <w:rsid w:val="005F4D4D"/>
    <w:rsid w:val="005F5E2F"/>
    <w:rsid w:val="005F773F"/>
    <w:rsid w:val="00610B4F"/>
    <w:rsid w:val="00612088"/>
    <w:rsid w:val="00617C9D"/>
    <w:rsid w:val="00627B9D"/>
    <w:rsid w:val="00630BDE"/>
    <w:rsid w:val="00631875"/>
    <w:rsid w:val="00632769"/>
    <w:rsid w:val="00633E08"/>
    <w:rsid w:val="0065087B"/>
    <w:rsid w:val="00655D23"/>
    <w:rsid w:val="00660BC8"/>
    <w:rsid w:val="00667317"/>
    <w:rsid w:val="006676C7"/>
    <w:rsid w:val="0068741E"/>
    <w:rsid w:val="00691EC4"/>
    <w:rsid w:val="006953E0"/>
    <w:rsid w:val="006A3B2C"/>
    <w:rsid w:val="006A672F"/>
    <w:rsid w:val="006B01F6"/>
    <w:rsid w:val="006B1EDE"/>
    <w:rsid w:val="006B57E0"/>
    <w:rsid w:val="006B6317"/>
    <w:rsid w:val="006B7087"/>
    <w:rsid w:val="006C4F58"/>
    <w:rsid w:val="006C6F9E"/>
    <w:rsid w:val="006D0B80"/>
    <w:rsid w:val="006D1BFB"/>
    <w:rsid w:val="006D7887"/>
    <w:rsid w:val="006E1835"/>
    <w:rsid w:val="006E69C1"/>
    <w:rsid w:val="006F7094"/>
    <w:rsid w:val="00711F9E"/>
    <w:rsid w:val="0072241F"/>
    <w:rsid w:val="00722D6B"/>
    <w:rsid w:val="007313E2"/>
    <w:rsid w:val="007348D8"/>
    <w:rsid w:val="007376F7"/>
    <w:rsid w:val="00743B36"/>
    <w:rsid w:val="00760EAD"/>
    <w:rsid w:val="0077080D"/>
    <w:rsid w:val="007817A2"/>
    <w:rsid w:val="00782528"/>
    <w:rsid w:val="00783D37"/>
    <w:rsid w:val="00784370"/>
    <w:rsid w:val="007A68A5"/>
    <w:rsid w:val="007B2EDD"/>
    <w:rsid w:val="007B6901"/>
    <w:rsid w:val="007C02E0"/>
    <w:rsid w:val="007C13E3"/>
    <w:rsid w:val="007D20BC"/>
    <w:rsid w:val="007E2F63"/>
    <w:rsid w:val="007E4A1C"/>
    <w:rsid w:val="007E586C"/>
    <w:rsid w:val="007F4E84"/>
    <w:rsid w:val="00815672"/>
    <w:rsid w:val="00823C8C"/>
    <w:rsid w:val="00826A6C"/>
    <w:rsid w:val="0083486A"/>
    <w:rsid w:val="00836F86"/>
    <w:rsid w:val="0085696B"/>
    <w:rsid w:val="0086064B"/>
    <w:rsid w:val="00862F76"/>
    <w:rsid w:val="008640BF"/>
    <w:rsid w:val="0087138E"/>
    <w:rsid w:val="008776ED"/>
    <w:rsid w:val="00882A69"/>
    <w:rsid w:val="008967E9"/>
    <w:rsid w:val="008A1358"/>
    <w:rsid w:val="008B20F9"/>
    <w:rsid w:val="008D0470"/>
    <w:rsid w:val="008D0AEF"/>
    <w:rsid w:val="008D41B0"/>
    <w:rsid w:val="008E5E1A"/>
    <w:rsid w:val="008E690B"/>
    <w:rsid w:val="008F2E39"/>
    <w:rsid w:val="008F62E6"/>
    <w:rsid w:val="0092222D"/>
    <w:rsid w:val="00926D86"/>
    <w:rsid w:val="00935EC2"/>
    <w:rsid w:val="0093748B"/>
    <w:rsid w:val="00957497"/>
    <w:rsid w:val="00961088"/>
    <w:rsid w:val="00964C61"/>
    <w:rsid w:val="00972D94"/>
    <w:rsid w:val="00975B5D"/>
    <w:rsid w:val="00983096"/>
    <w:rsid w:val="00991430"/>
    <w:rsid w:val="009A1584"/>
    <w:rsid w:val="009C0415"/>
    <w:rsid w:val="009E0508"/>
    <w:rsid w:val="00A00CFA"/>
    <w:rsid w:val="00A0479C"/>
    <w:rsid w:val="00A20FF6"/>
    <w:rsid w:val="00A2172A"/>
    <w:rsid w:val="00A22D57"/>
    <w:rsid w:val="00A25B08"/>
    <w:rsid w:val="00A25B78"/>
    <w:rsid w:val="00A3506E"/>
    <w:rsid w:val="00A37918"/>
    <w:rsid w:val="00A42301"/>
    <w:rsid w:val="00A627F6"/>
    <w:rsid w:val="00A65A94"/>
    <w:rsid w:val="00A661A4"/>
    <w:rsid w:val="00A76D38"/>
    <w:rsid w:val="00A85398"/>
    <w:rsid w:val="00A90062"/>
    <w:rsid w:val="00AA5418"/>
    <w:rsid w:val="00AC0D95"/>
    <w:rsid w:val="00AC17BC"/>
    <w:rsid w:val="00AF25C4"/>
    <w:rsid w:val="00AF5BF0"/>
    <w:rsid w:val="00B06098"/>
    <w:rsid w:val="00B15271"/>
    <w:rsid w:val="00B22076"/>
    <w:rsid w:val="00B41F8A"/>
    <w:rsid w:val="00B452D5"/>
    <w:rsid w:val="00B47A4A"/>
    <w:rsid w:val="00B51F45"/>
    <w:rsid w:val="00B52020"/>
    <w:rsid w:val="00B61AC3"/>
    <w:rsid w:val="00B629D2"/>
    <w:rsid w:val="00B66621"/>
    <w:rsid w:val="00B7071E"/>
    <w:rsid w:val="00B80316"/>
    <w:rsid w:val="00B9519F"/>
    <w:rsid w:val="00BA0BE1"/>
    <w:rsid w:val="00BA4C1E"/>
    <w:rsid w:val="00BB3370"/>
    <w:rsid w:val="00BC417E"/>
    <w:rsid w:val="00BD284A"/>
    <w:rsid w:val="00BD6F22"/>
    <w:rsid w:val="00BD71BC"/>
    <w:rsid w:val="00BE728E"/>
    <w:rsid w:val="00BF5058"/>
    <w:rsid w:val="00BF652F"/>
    <w:rsid w:val="00C107BA"/>
    <w:rsid w:val="00C150A8"/>
    <w:rsid w:val="00C246C7"/>
    <w:rsid w:val="00C31C0D"/>
    <w:rsid w:val="00C36476"/>
    <w:rsid w:val="00C4474E"/>
    <w:rsid w:val="00C474C5"/>
    <w:rsid w:val="00C55531"/>
    <w:rsid w:val="00C646DC"/>
    <w:rsid w:val="00C71410"/>
    <w:rsid w:val="00C7594C"/>
    <w:rsid w:val="00C82ECB"/>
    <w:rsid w:val="00C928A1"/>
    <w:rsid w:val="00CA2C6E"/>
    <w:rsid w:val="00CA3EA7"/>
    <w:rsid w:val="00CA7DC7"/>
    <w:rsid w:val="00CB4AC6"/>
    <w:rsid w:val="00CC1057"/>
    <w:rsid w:val="00CC59DA"/>
    <w:rsid w:val="00CF382C"/>
    <w:rsid w:val="00D0047C"/>
    <w:rsid w:val="00D06D3A"/>
    <w:rsid w:val="00D16ACD"/>
    <w:rsid w:val="00D17183"/>
    <w:rsid w:val="00D20B47"/>
    <w:rsid w:val="00D2360C"/>
    <w:rsid w:val="00D329EB"/>
    <w:rsid w:val="00D46056"/>
    <w:rsid w:val="00D55D7D"/>
    <w:rsid w:val="00D77948"/>
    <w:rsid w:val="00D77D3F"/>
    <w:rsid w:val="00D9466D"/>
    <w:rsid w:val="00D97C5F"/>
    <w:rsid w:val="00DB1890"/>
    <w:rsid w:val="00DB311B"/>
    <w:rsid w:val="00DB54A4"/>
    <w:rsid w:val="00DB70FF"/>
    <w:rsid w:val="00DB74F7"/>
    <w:rsid w:val="00DC3A96"/>
    <w:rsid w:val="00DC625E"/>
    <w:rsid w:val="00DD39F5"/>
    <w:rsid w:val="00DD7DDF"/>
    <w:rsid w:val="00DE615D"/>
    <w:rsid w:val="00DF198D"/>
    <w:rsid w:val="00DF1C3D"/>
    <w:rsid w:val="00DF54AF"/>
    <w:rsid w:val="00DF5C29"/>
    <w:rsid w:val="00E059CD"/>
    <w:rsid w:val="00E07E11"/>
    <w:rsid w:val="00E32C96"/>
    <w:rsid w:val="00E51558"/>
    <w:rsid w:val="00E5179C"/>
    <w:rsid w:val="00E7371C"/>
    <w:rsid w:val="00E73A37"/>
    <w:rsid w:val="00E7696E"/>
    <w:rsid w:val="00E86F7D"/>
    <w:rsid w:val="00EC0672"/>
    <w:rsid w:val="00EC1684"/>
    <w:rsid w:val="00EE20B3"/>
    <w:rsid w:val="00EE51D6"/>
    <w:rsid w:val="00EE559E"/>
    <w:rsid w:val="00EE6D50"/>
    <w:rsid w:val="00EE7F5A"/>
    <w:rsid w:val="00EF09BB"/>
    <w:rsid w:val="00F07D00"/>
    <w:rsid w:val="00F273C5"/>
    <w:rsid w:val="00F35EE7"/>
    <w:rsid w:val="00F40706"/>
    <w:rsid w:val="00F54BE7"/>
    <w:rsid w:val="00F568BB"/>
    <w:rsid w:val="00F62BE0"/>
    <w:rsid w:val="00F649B2"/>
    <w:rsid w:val="00F71218"/>
    <w:rsid w:val="00F75AC2"/>
    <w:rsid w:val="00F83D76"/>
    <w:rsid w:val="00F86318"/>
    <w:rsid w:val="00F92BBD"/>
    <w:rsid w:val="00FA4656"/>
    <w:rsid w:val="00FA5322"/>
    <w:rsid w:val="00FA7D5B"/>
    <w:rsid w:val="00FB2427"/>
    <w:rsid w:val="00FB6F71"/>
    <w:rsid w:val="00FD4E3F"/>
    <w:rsid w:val="00FD76E5"/>
    <w:rsid w:val="00FD77FC"/>
    <w:rsid w:val="00FE0403"/>
    <w:rsid w:val="00FF3DDB"/>
    <w:rsid w:val="00FF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A2C17B"/>
  <w15:docId w15:val="{398E766D-E0D0-4544-842B-614172A9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57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46DC"/>
    <w:rPr>
      <w:rFonts w:ascii="Tahoma" w:hAnsi="Tahoma" w:cs="Tahoma"/>
      <w:sz w:val="16"/>
      <w:szCs w:val="16"/>
    </w:rPr>
  </w:style>
  <w:style w:type="paragraph" w:styleId="2">
    <w:name w:val="Body Text Indent 2"/>
    <w:basedOn w:val="a"/>
    <w:link w:val="20"/>
    <w:unhideWhenUsed/>
    <w:rsid w:val="00D97C5F"/>
    <w:pPr>
      <w:widowControl/>
      <w:autoSpaceDE/>
      <w:autoSpaceDN/>
      <w:adjustRightInd/>
      <w:spacing w:after="120" w:line="480" w:lineRule="auto"/>
      <w:ind w:left="283"/>
    </w:pPr>
    <w:rPr>
      <w:sz w:val="24"/>
    </w:rPr>
  </w:style>
  <w:style w:type="character" w:customStyle="1" w:styleId="20">
    <w:name w:val="Основной текст с отступом 2 Знак"/>
    <w:link w:val="2"/>
    <w:rsid w:val="00D97C5F"/>
    <w:rPr>
      <w:sz w:val="24"/>
    </w:rPr>
  </w:style>
  <w:style w:type="paragraph" w:styleId="a4">
    <w:name w:val="header"/>
    <w:basedOn w:val="a"/>
    <w:link w:val="a5"/>
    <w:uiPriority w:val="99"/>
    <w:rsid w:val="00540C0D"/>
    <w:pPr>
      <w:tabs>
        <w:tab w:val="center" w:pos="4677"/>
        <w:tab w:val="right" w:pos="9355"/>
      </w:tabs>
    </w:pPr>
  </w:style>
  <w:style w:type="character" w:customStyle="1" w:styleId="a5">
    <w:name w:val="Верхний колонтитул Знак"/>
    <w:basedOn w:val="a0"/>
    <w:link w:val="a4"/>
    <w:uiPriority w:val="99"/>
    <w:rsid w:val="00540C0D"/>
  </w:style>
  <w:style w:type="paragraph" w:styleId="a6">
    <w:name w:val="footer"/>
    <w:basedOn w:val="a"/>
    <w:link w:val="a7"/>
    <w:uiPriority w:val="99"/>
    <w:rsid w:val="00540C0D"/>
    <w:pPr>
      <w:tabs>
        <w:tab w:val="center" w:pos="4677"/>
        <w:tab w:val="right" w:pos="9355"/>
      </w:tabs>
    </w:pPr>
  </w:style>
  <w:style w:type="character" w:customStyle="1" w:styleId="a7">
    <w:name w:val="Нижний колонтитул Знак"/>
    <w:basedOn w:val="a0"/>
    <w:link w:val="a6"/>
    <w:uiPriority w:val="99"/>
    <w:rsid w:val="00540C0D"/>
  </w:style>
  <w:style w:type="paragraph" w:customStyle="1" w:styleId="5">
    <w:name w:val="5"/>
    <w:basedOn w:val="a"/>
    <w:rsid w:val="00540C0D"/>
    <w:pPr>
      <w:widowControl/>
      <w:autoSpaceDE/>
      <w:autoSpaceDN/>
      <w:adjustRightInd/>
      <w:spacing w:before="100" w:beforeAutospacing="1" w:after="100" w:afterAutospacing="1"/>
      <w:jc w:val="both"/>
    </w:pPr>
    <w:rPr>
      <w:rFonts w:ascii="Arial Unicode MS" w:eastAsia="Arial Unicode MS" w:hAnsi="Arial Unicode MS" w:cs="Arial Unicode MS"/>
      <w:sz w:val="24"/>
      <w:szCs w:val="24"/>
    </w:rPr>
  </w:style>
  <w:style w:type="paragraph" w:styleId="a8">
    <w:name w:val="No Spacing"/>
    <w:uiPriority w:val="1"/>
    <w:qFormat/>
    <w:rsid w:val="00A25B08"/>
    <w:pPr>
      <w:widowControl w:val="0"/>
      <w:autoSpaceDE w:val="0"/>
      <w:autoSpaceDN w:val="0"/>
      <w:adjustRightInd w:val="0"/>
    </w:pPr>
  </w:style>
  <w:style w:type="character" w:styleId="a9">
    <w:name w:val="footnote reference"/>
    <w:uiPriority w:val="99"/>
    <w:unhideWhenUsed/>
    <w:rsid w:val="00A25B08"/>
    <w:rPr>
      <w:vertAlign w:val="superscript"/>
    </w:rPr>
  </w:style>
  <w:style w:type="paragraph" w:styleId="aa">
    <w:name w:val="List Paragraph"/>
    <w:basedOn w:val="a"/>
    <w:uiPriority w:val="34"/>
    <w:qFormat/>
    <w:rsid w:val="00957497"/>
    <w:pPr>
      <w:ind w:left="720"/>
      <w:contextualSpacing/>
    </w:pPr>
  </w:style>
  <w:style w:type="character" w:customStyle="1" w:styleId="FontStyle36">
    <w:name w:val="Font Style36"/>
    <w:uiPriority w:val="99"/>
    <w:rsid w:val="0003346D"/>
    <w:rPr>
      <w:rFonts w:ascii="Times New Roman" w:hAnsi="Times New Roman" w:cs="Times New Roman"/>
      <w:sz w:val="26"/>
      <w:szCs w:val="26"/>
    </w:rPr>
  </w:style>
  <w:style w:type="table" w:styleId="ab">
    <w:name w:val="Table Grid"/>
    <w:basedOn w:val="a1"/>
    <w:uiPriority w:val="39"/>
    <w:rsid w:val="007B2E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rsid w:val="006676C7"/>
    <w:pPr>
      <w:widowControl/>
      <w:autoSpaceDE/>
      <w:autoSpaceDN/>
      <w:adjustRightInd/>
      <w:ind w:firstLine="567"/>
      <w:jc w:val="both"/>
    </w:pPr>
    <w:rPr>
      <w:lang w:eastAsia="en-US"/>
    </w:rPr>
  </w:style>
  <w:style w:type="character" w:customStyle="1" w:styleId="ad">
    <w:name w:val="Текст сноски Знак"/>
    <w:basedOn w:val="a0"/>
    <w:link w:val="ac"/>
    <w:uiPriority w:val="99"/>
    <w:rsid w:val="006676C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38" TargetMode="External"/><Relationship Id="rId13" Type="http://schemas.openxmlformats.org/officeDocument/2006/relationships/hyperlink" Target="https://login.consultant.ru/link/?req=doc&amp;base=LAW&amp;n=440052&amp;dst=101142" TargetMode="External"/><Relationship Id="rId18" Type="http://schemas.openxmlformats.org/officeDocument/2006/relationships/hyperlink" Target="https://login.consultant.ru/link/?req=doc&amp;base=LAW&amp;n=454191&amp;dst=216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40052&amp;dst=100984" TargetMode="External"/><Relationship Id="rId17" Type="http://schemas.openxmlformats.org/officeDocument/2006/relationships/hyperlink" Target="https://login.consultant.ru/link/?req=doc&amp;base=LAW&amp;n=454191&amp;dst=2248" TargetMode="External"/><Relationship Id="rId2" Type="http://schemas.openxmlformats.org/officeDocument/2006/relationships/numbering" Target="numbering.xml"/><Relationship Id="rId16" Type="http://schemas.openxmlformats.org/officeDocument/2006/relationships/hyperlink" Target="https://login.consultant.ru/link/?req=doc&amp;base=EXP&amp;n=6272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0052&amp;dst=100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INT&amp;n=62534" TargetMode="External"/><Relationship Id="rId23" Type="http://schemas.openxmlformats.org/officeDocument/2006/relationships/fontTable" Target="fontTable.xml"/><Relationship Id="rId10" Type="http://schemas.openxmlformats.org/officeDocument/2006/relationships/hyperlink" Target="https://login.consultant.ru/link/?req=doc&amp;base=LAW&amp;n=454110&amp;dst=101348" TargetMode="External"/><Relationship Id="rId19" Type="http://schemas.openxmlformats.org/officeDocument/2006/relationships/hyperlink" Target="https://login.consultant.ru/link/?req=doc&amp;base=LAW&amp;n=454191&amp;dst=2167" TargetMode="External"/><Relationship Id="rId4" Type="http://schemas.openxmlformats.org/officeDocument/2006/relationships/settings" Target="settings.xml"/><Relationship Id="rId9" Type="http://schemas.openxmlformats.org/officeDocument/2006/relationships/hyperlink" Target="https://login.consultant.ru/link/?req=doc&amp;base=LAW&amp;n=454110&amp;dst=101348" TargetMode="External"/><Relationship Id="rId14" Type="http://schemas.openxmlformats.org/officeDocument/2006/relationships/hyperlink" Target="https://login.consultant.ru/link/?req=doc&amp;base=LAW&amp;n=454191&amp;dst=101534"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20AntroM\Rosseti\Blanks\07.08%20blanks\ref\&#1064;&#1072;&#1073;&#1083;&#1086;&#1085;%20&#1041;&#1051;&#1040;&#1053;&#1050;&#1040;%20&#1087;&#1088;&#1080;&#1082;&#1072;&#1079;&#1072;%20&#1042;&#1069;&#105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D46B-A062-4777-B8D1-6E18FCA9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БЛАНКА приказа ВЭС</Template>
  <TotalTime>10</TotalTime>
  <Pages>8</Pages>
  <Words>3261</Words>
  <Characters>24518</Characters>
  <Application>Microsoft Office Word</Application>
  <DocSecurity>0</DocSecurity>
  <Lines>204</Lines>
  <Paragraphs>55</Paragraphs>
  <ScaleCrop>false</ScaleCrop>
  <HeadingPairs>
    <vt:vector size="2" baseType="variant">
      <vt:variant>
        <vt:lpstr>Название</vt:lpstr>
      </vt:variant>
      <vt:variant>
        <vt:i4>1</vt:i4>
      </vt:variant>
    </vt:vector>
  </HeadingPairs>
  <TitlesOfParts>
    <vt:vector size="1" baseType="lpstr">
      <vt:lpstr>РАО «ЕЭС России»</vt:lpstr>
    </vt:vector>
  </TitlesOfParts>
  <Company>ОАО "МРСК Северо-Запада"</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РАО «ЕЭС России»</dc:title>
  <dc:creator>m.antropov</dc:creator>
  <cp:lastModifiedBy>Карпович Наталья Владимировна</cp:lastModifiedBy>
  <cp:revision>7</cp:revision>
  <cp:lastPrinted>2023-12-21T11:07:00Z</cp:lastPrinted>
  <dcterms:created xsi:type="dcterms:W3CDTF">2023-12-26T11:25:00Z</dcterms:created>
  <dcterms:modified xsi:type="dcterms:W3CDTF">2023-12-26T12:04:00Z</dcterms:modified>
</cp:coreProperties>
</file>